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B34A46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4FE6">
        <w:rPr>
          <w:b/>
          <w:bCs/>
        </w:rPr>
        <w:t xml:space="preserve"> </w:t>
      </w:r>
      <w:r>
        <w:rPr>
          <w:b/>
          <w:bCs/>
        </w:rPr>
        <w:t>5</w:t>
      </w:r>
      <w:r w:rsidR="00003A3D">
        <w:rPr>
          <w:b/>
          <w:bCs/>
        </w:rPr>
        <w:t>, 2022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Pr="00FC2315" w:rsidRDefault="00C3160F" w:rsidP="00C3160F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jc w:val="center"/>
        <w:rPr>
          <w:rFonts w:ascii="Arial" w:hAnsi="Arial" w:cs="Arial"/>
        </w:rPr>
      </w:pPr>
      <w:r w:rsidRPr="00FC2315">
        <w:rPr>
          <w:rFonts w:ascii="Arial" w:hAnsi="Arial" w:cs="Arial"/>
          <w:b/>
          <w:bCs/>
          <w:sz w:val="28"/>
        </w:rPr>
        <w:t>State Releases June 2022 General Revenue Report</w:t>
      </w:r>
    </w:p>
    <w:p w:rsidR="00FC2315" w:rsidRPr="00FC2315" w:rsidRDefault="00FC2315" w:rsidP="00FC2315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ind w:firstLine="720"/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State Budget Director Dan Haug announced today that net general revenue collections for June 2022 increased 20.5 percent compared to those for June 2021, from $1.22 billion last year to $1.47 billion this year.</w:t>
      </w:r>
    </w:p>
    <w:p w:rsidR="00FC2315" w:rsidRPr="00FC2315" w:rsidRDefault="00FC2315" w:rsidP="00FC2315">
      <w:pPr>
        <w:ind w:firstLine="720"/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ind w:firstLine="720"/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Net general revenue collections for 2022 fiscal year-to-date increased 14.6 percent compared to June 2021, from $11.24 billion last year to $12.88 billion this year.</w:t>
      </w:r>
    </w:p>
    <w:p w:rsidR="00FC2315" w:rsidRPr="00FC2315" w:rsidRDefault="00FC2315" w:rsidP="00FC2315">
      <w:pPr>
        <w:ind w:firstLine="720"/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FC2315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FC2315" w:rsidRPr="00FC2315" w:rsidRDefault="00FC2315" w:rsidP="00FC2315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C2315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FC2315" w:rsidRPr="00FC2315" w:rsidRDefault="00FC2315" w:rsidP="00FC231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11.8 percent for the year, from $8.92 billion last year to $9.97 billion this year.</w:t>
      </w:r>
    </w:p>
    <w:p w:rsidR="00FC2315" w:rsidRPr="00FC2315" w:rsidRDefault="00FC2315" w:rsidP="00FC231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25.6 percent for the month.</w:t>
      </w:r>
    </w:p>
    <w:p w:rsidR="00FC2315" w:rsidRPr="00FC2315" w:rsidRDefault="00FC2315" w:rsidP="00FC2315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C2315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FC2315" w:rsidRPr="00FC2315" w:rsidRDefault="00FC2315" w:rsidP="00FC231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13.1 percent for the year, from $2.43 billion last year to $2.75 billion this year.</w:t>
      </w:r>
    </w:p>
    <w:p w:rsidR="00FC2315" w:rsidRPr="00FC2315" w:rsidRDefault="00FC2315" w:rsidP="00FC231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 xml:space="preserve">Increased 6.6 percent for the month.  </w:t>
      </w:r>
    </w:p>
    <w:p w:rsidR="00FC2315" w:rsidRPr="00FC2315" w:rsidRDefault="00FC2315" w:rsidP="00FC2315">
      <w:pPr>
        <w:rPr>
          <w:rFonts w:ascii="Arial" w:hAnsi="Arial" w:cs="Arial"/>
          <w:sz w:val="22"/>
          <w:szCs w:val="22"/>
        </w:rPr>
      </w:pPr>
    </w:p>
    <w:p w:rsidR="00FC2315" w:rsidRPr="00FC2315" w:rsidRDefault="00FC2315" w:rsidP="00FC2315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C2315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FC2315" w:rsidRPr="00FC2315" w:rsidRDefault="00FC2315" w:rsidP="00FC231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14.1 percent for the year, from $797.1 million last year to $909.7 million this year.</w:t>
      </w:r>
    </w:p>
    <w:p w:rsidR="00FC2315" w:rsidRPr="00FC2315" w:rsidRDefault="00FC2315" w:rsidP="00FC231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55.2 percent for the month.</w:t>
      </w:r>
    </w:p>
    <w:p w:rsidR="00FC2315" w:rsidRPr="00FC2315" w:rsidRDefault="00FC2315" w:rsidP="00FC2315">
      <w:pPr>
        <w:rPr>
          <w:rFonts w:ascii="Arial" w:hAnsi="Arial" w:cs="Arial"/>
          <w:sz w:val="22"/>
          <w:szCs w:val="22"/>
        </w:rPr>
      </w:pPr>
    </w:p>
    <w:p w:rsidR="00FC2315" w:rsidRPr="00FC2315" w:rsidRDefault="00FC2315" w:rsidP="00FC2315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C2315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FC2315" w:rsidRPr="00FC2315" w:rsidRDefault="00FC2315" w:rsidP="00FC231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Increased 2.8 percent for the year, from $593.5 million last year to $610.1 million this year.</w:t>
      </w:r>
    </w:p>
    <w:p w:rsidR="00FC2315" w:rsidRPr="00FC2315" w:rsidRDefault="00FC2315" w:rsidP="00FC231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>Decreased 4.7 percent for the month.</w:t>
      </w:r>
    </w:p>
    <w:p w:rsidR="00FC2315" w:rsidRPr="00FC2315" w:rsidRDefault="00FC2315" w:rsidP="00FC2315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C2315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FC2315" w:rsidRPr="00FC2315" w:rsidRDefault="00FC2315" w:rsidP="00FC231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 xml:space="preserve">Decreased 9.3 percent for the year, from $1.50 billion last year to $1.36 billion this year. </w:t>
      </w:r>
    </w:p>
    <w:p w:rsidR="00FC2315" w:rsidRPr="00FC2315" w:rsidRDefault="00FC2315" w:rsidP="00FC231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sz w:val="22"/>
          <w:szCs w:val="22"/>
        </w:rPr>
        <w:t xml:space="preserve">Increased 105.9 percent for the month. </w:t>
      </w:r>
    </w:p>
    <w:p w:rsidR="00FC2315" w:rsidRPr="00FC2315" w:rsidRDefault="00FC2315" w:rsidP="00FC2315">
      <w:pPr>
        <w:rPr>
          <w:rFonts w:ascii="Arial" w:hAnsi="Arial" w:cs="Arial"/>
          <w:sz w:val="18"/>
          <w:szCs w:val="18"/>
        </w:rPr>
      </w:pPr>
    </w:p>
    <w:p w:rsidR="00FC2315" w:rsidRPr="00FC2315" w:rsidRDefault="00FC2315" w:rsidP="00FC2315">
      <w:pPr>
        <w:rPr>
          <w:rFonts w:ascii="Arial" w:hAnsi="Arial" w:cs="Arial"/>
          <w:i/>
          <w:iCs/>
        </w:rPr>
      </w:pPr>
      <w:r w:rsidRPr="00FC2315">
        <w:rPr>
          <w:rFonts w:ascii="Arial" w:hAnsi="Arial" w:cs="Arial"/>
          <w:i/>
          <w:iCs/>
        </w:rPr>
        <w:t xml:space="preserve">Due to the </w:t>
      </w:r>
      <w:proofErr w:type="spellStart"/>
      <w:r w:rsidRPr="00FC2315">
        <w:rPr>
          <w:rFonts w:ascii="Arial" w:hAnsi="Arial" w:cs="Arial"/>
          <w:i/>
          <w:iCs/>
        </w:rPr>
        <w:t>COVID</w:t>
      </w:r>
      <w:proofErr w:type="spellEnd"/>
      <w:r w:rsidRPr="00FC2315">
        <w:rPr>
          <w:rFonts w:ascii="Arial" w:hAnsi="Arial" w:cs="Arial"/>
          <w:i/>
          <w:iCs/>
        </w:rPr>
        <w:t xml:space="preserve"> pandemic, the 2020 income tax filing deadlines in April and June were moved to July 15, 2020.  Therefore, the comparison of FY21 to FY22 will be negatively impacted throughout FY22.</w:t>
      </w:r>
    </w:p>
    <w:p w:rsidR="00FC2315" w:rsidRPr="00FC2315" w:rsidRDefault="00FC2315" w:rsidP="00FC2315">
      <w:pPr>
        <w:rPr>
          <w:rFonts w:ascii="Arial" w:hAnsi="Arial" w:cs="Arial"/>
          <w:i/>
          <w:iCs/>
        </w:rPr>
      </w:pPr>
    </w:p>
    <w:p w:rsidR="00FC2315" w:rsidRPr="00FC2315" w:rsidRDefault="00FC2315" w:rsidP="00FC2315">
      <w:pPr>
        <w:rPr>
          <w:rFonts w:ascii="Arial" w:hAnsi="Arial" w:cs="Arial"/>
          <w:sz w:val="22"/>
          <w:szCs w:val="22"/>
        </w:rPr>
      </w:pPr>
      <w:r w:rsidRPr="00FC2315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FC2315" w:rsidRPr="00FC2315" w:rsidRDefault="00FC2315" w:rsidP="00FC2315">
      <w:pPr>
        <w:rPr>
          <w:rFonts w:ascii="Arial" w:hAnsi="Arial" w:cs="Arial"/>
          <w:sz w:val="22"/>
          <w:szCs w:val="22"/>
        </w:rPr>
      </w:pPr>
    </w:p>
    <w:p w:rsidR="00B34A46" w:rsidRDefault="00B34A46" w:rsidP="00C3160F">
      <w:pPr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  <w:bookmarkStart w:id="0" w:name="_GoBack"/>
      <w:bookmarkEnd w:id="0"/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4A46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2315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2022-07-05T18:50:00Z</dcterms:created>
  <dcterms:modified xsi:type="dcterms:W3CDTF">2022-07-05T18:50:00Z</dcterms:modified>
</cp:coreProperties>
</file>