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F27EA4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692F">
        <w:rPr>
          <w:b/>
          <w:bCs/>
        </w:rPr>
        <w:t xml:space="preserve"> </w:t>
      </w:r>
      <w:r w:rsidR="005C7DC8">
        <w:rPr>
          <w:b/>
          <w:bCs/>
        </w:rPr>
        <w:t>6</w:t>
      </w:r>
      <w:bookmarkStart w:id="0" w:name="_GoBack"/>
      <w:bookmarkEnd w:id="0"/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jc w:val="center"/>
        <w:rPr>
          <w:rFonts w:ascii="Arial" w:hAnsi="Arial" w:cs="Arial"/>
        </w:rPr>
      </w:pPr>
      <w:r w:rsidRPr="00F27EA4">
        <w:rPr>
          <w:rFonts w:ascii="Arial" w:hAnsi="Arial" w:cs="Arial"/>
          <w:b/>
          <w:bCs/>
          <w:sz w:val="28"/>
        </w:rPr>
        <w:t>State Releases June 2023 General Revenue Report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ind w:firstLine="720"/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State Budget Director Dan Haug announced today that net general revenue collections for June 2023 declined (17.1) percent compared to those for June 2022, from $1.47 billion last year to $1.22 billion this year.</w:t>
      </w:r>
    </w:p>
    <w:p w:rsidR="00F27EA4" w:rsidRPr="00F27EA4" w:rsidRDefault="00F27EA4" w:rsidP="00F27EA4">
      <w:pPr>
        <w:ind w:firstLine="720"/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ind w:firstLine="720"/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Net general revenue collections for 2023 fiscal year-to-date increased 2.7 percent compared to June 2022, from $12.88 billion last year to $13.23 billion this year.</w:t>
      </w:r>
    </w:p>
    <w:p w:rsidR="00F27EA4" w:rsidRPr="00F27EA4" w:rsidRDefault="00F27EA4" w:rsidP="00F27EA4">
      <w:pPr>
        <w:ind w:firstLine="720"/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F27EA4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27EA4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F27EA4" w:rsidRPr="00F27EA4" w:rsidRDefault="00F27EA4" w:rsidP="00F27EA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Increased 0.1 percent for the year, from $9.97 billion last year to $9.98 billion this year.</w:t>
      </w:r>
    </w:p>
    <w:p w:rsidR="00F27EA4" w:rsidRPr="00F27EA4" w:rsidRDefault="00F27EA4" w:rsidP="00F27EA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Decreased 25.8 percent for the month.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27EA4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F27EA4" w:rsidRPr="00F27EA4" w:rsidRDefault="00F27EA4" w:rsidP="00F27E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Increased 7.2 percent for the year, from $2.75 billion last year to $2.94 billion this year.</w:t>
      </w:r>
    </w:p>
    <w:p w:rsidR="00F27EA4" w:rsidRPr="00F27EA4" w:rsidRDefault="00F27EA4" w:rsidP="00F27E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 xml:space="preserve">Increased 15.6 percent for the month.  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27EA4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F27EA4" w:rsidRPr="00F27EA4" w:rsidRDefault="00F27EA4" w:rsidP="00F27EA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Increased 16.4 percent for the year, from $909.7 million last year to $1.06 billion this year.</w:t>
      </w:r>
    </w:p>
    <w:p w:rsidR="00F27EA4" w:rsidRPr="00F27EA4" w:rsidRDefault="00F27EA4" w:rsidP="00F27EA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Decreased 9.0 percent for the month.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27EA4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F27EA4" w:rsidRPr="00F27EA4" w:rsidRDefault="00F27EA4" w:rsidP="00F27E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Increased 41.7 percent for the year, from $610.1 million last year to $864.2 million this year.</w:t>
      </w:r>
    </w:p>
    <w:p w:rsidR="00F27EA4" w:rsidRPr="00F27EA4" w:rsidRDefault="00F27EA4" w:rsidP="00F27E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>Increased 43.8 percent for the month.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27EA4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F27EA4" w:rsidRPr="00F27EA4" w:rsidRDefault="00F27EA4" w:rsidP="00F27E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 xml:space="preserve">Increased 19.1 percent for the year, from $1.36 billion last year to $1.62 billion this year. </w:t>
      </w:r>
    </w:p>
    <w:p w:rsidR="00F27EA4" w:rsidRPr="00F27EA4" w:rsidRDefault="00F27EA4" w:rsidP="00F27E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sz w:val="22"/>
          <w:szCs w:val="22"/>
        </w:rPr>
        <w:t xml:space="preserve">Increased 75.8 percent for the month. 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  <w:r w:rsidRPr="00F27EA4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F27EA4" w:rsidRPr="00F27EA4" w:rsidRDefault="00F27EA4" w:rsidP="00F27EA4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C7DC8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27EA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56C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811CC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2023-07-05T13:56:00Z</dcterms:created>
  <dcterms:modified xsi:type="dcterms:W3CDTF">2023-07-06T13:58:00Z</dcterms:modified>
</cp:coreProperties>
</file>