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7D6E89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July</w:t>
      </w:r>
      <w:r w:rsidR="0069692F">
        <w:rPr>
          <w:b/>
          <w:bCs/>
        </w:rPr>
        <w:t xml:space="preserve"> </w:t>
      </w:r>
      <w:r w:rsidR="00DF66E8">
        <w:rPr>
          <w:b/>
          <w:bCs/>
        </w:rPr>
        <w:t>3</w:t>
      </w:r>
      <w:r w:rsidR="00003A3D">
        <w:rPr>
          <w:b/>
          <w:bCs/>
        </w:rPr>
        <w:t>, 202</w:t>
      </w:r>
      <w:r w:rsidR="0069692F">
        <w:rPr>
          <w:b/>
          <w:bCs/>
        </w:rPr>
        <w:t>3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7D6E89" w:rsidRPr="007D6E89" w:rsidRDefault="007D6E89" w:rsidP="007D6E89">
      <w:pPr>
        <w:jc w:val="center"/>
        <w:rPr>
          <w:rFonts w:ascii="Arial" w:hAnsi="Arial" w:cs="Arial"/>
        </w:rPr>
      </w:pPr>
      <w:r w:rsidRPr="007D6E89">
        <w:rPr>
          <w:rFonts w:ascii="Arial" w:hAnsi="Arial" w:cs="Arial"/>
          <w:b/>
          <w:bCs/>
          <w:sz w:val="28"/>
        </w:rPr>
        <w:t>State Releases July 2023 General Revenue Report</w:t>
      </w:r>
    </w:p>
    <w:p w:rsidR="007D6E89" w:rsidRPr="007D6E89" w:rsidRDefault="007D6E89" w:rsidP="007D6E89">
      <w:pPr>
        <w:rPr>
          <w:rFonts w:ascii="Arial" w:hAnsi="Arial" w:cs="Arial"/>
          <w:sz w:val="22"/>
          <w:szCs w:val="22"/>
        </w:rPr>
      </w:pPr>
    </w:p>
    <w:p w:rsidR="007D6E89" w:rsidRPr="007D6E89" w:rsidRDefault="007D6E89" w:rsidP="007D6E89">
      <w:pPr>
        <w:ind w:firstLine="720"/>
        <w:rPr>
          <w:rFonts w:ascii="Arial" w:hAnsi="Arial" w:cs="Arial"/>
          <w:sz w:val="22"/>
          <w:szCs w:val="22"/>
        </w:rPr>
      </w:pPr>
      <w:r w:rsidRPr="007D6E89">
        <w:rPr>
          <w:rFonts w:ascii="Arial" w:hAnsi="Arial" w:cs="Arial"/>
          <w:sz w:val="22"/>
          <w:szCs w:val="22"/>
        </w:rPr>
        <w:t>State Budget Director Dan Haug announced today that 2024 fiscal year-to-date net general revenue collections decreased 7.4 percent compared to July 2022, from $970.3 million last year to $898.7 million this year.</w:t>
      </w:r>
    </w:p>
    <w:p w:rsidR="007D6E89" w:rsidRPr="007D6E89" w:rsidRDefault="007D6E89" w:rsidP="007D6E89">
      <w:pPr>
        <w:ind w:firstLine="720"/>
        <w:rPr>
          <w:rFonts w:ascii="Arial" w:hAnsi="Arial" w:cs="Arial"/>
          <w:sz w:val="22"/>
          <w:szCs w:val="22"/>
        </w:rPr>
      </w:pPr>
    </w:p>
    <w:p w:rsidR="007D6E89" w:rsidRPr="007D6E89" w:rsidRDefault="007D6E89" w:rsidP="007D6E89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7D6E89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:rsidR="007D6E89" w:rsidRPr="007D6E89" w:rsidRDefault="007D6E89" w:rsidP="007D6E89">
      <w:pPr>
        <w:rPr>
          <w:rFonts w:ascii="Arial" w:hAnsi="Arial" w:cs="Arial"/>
          <w:sz w:val="22"/>
          <w:szCs w:val="22"/>
        </w:rPr>
      </w:pPr>
    </w:p>
    <w:p w:rsidR="007D6E89" w:rsidRPr="007D6E89" w:rsidRDefault="007D6E89" w:rsidP="007D6E89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6E89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:rsidR="007D6E89" w:rsidRPr="007D6E89" w:rsidRDefault="007D6E89" w:rsidP="007D6E8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D6E89">
        <w:rPr>
          <w:rFonts w:ascii="Arial" w:hAnsi="Arial" w:cs="Arial"/>
          <w:sz w:val="22"/>
          <w:szCs w:val="22"/>
        </w:rPr>
        <w:t>Decreased 19.5 percent for the year, from $684.0 million last year to $550.8 million this year.</w:t>
      </w:r>
    </w:p>
    <w:p w:rsidR="007D6E89" w:rsidRPr="007D6E89" w:rsidRDefault="007D6E89" w:rsidP="007D6E89">
      <w:pPr>
        <w:rPr>
          <w:rFonts w:ascii="Arial" w:hAnsi="Arial" w:cs="Arial"/>
          <w:sz w:val="22"/>
          <w:szCs w:val="22"/>
        </w:rPr>
      </w:pPr>
    </w:p>
    <w:p w:rsidR="007D6E89" w:rsidRPr="007D6E89" w:rsidRDefault="007D6E89" w:rsidP="007D6E89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6E89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:rsidR="007D6E89" w:rsidRPr="007D6E89" w:rsidRDefault="007D6E89" w:rsidP="007D6E8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D6E89">
        <w:rPr>
          <w:rFonts w:ascii="Arial" w:hAnsi="Arial" w:cs="Arial"/>
          <w:sz w:val="22"/>
          <w:szCs w:val="22"/>
        </w:rPr>
        <w:t>Increased 37.3 percent for the year, from $248.5 million last year to $341.2 million this year.</w:t>
      </w:r>
    </w:p>
    <w:p w:rsidR="007D6E89" w:rsidRPr="007D6E89" w:rsidRDefault="007D6E89" w:rsidP="007D6E89">
      <w:pPr>
        <w:rPr>
          <w:rFonts w:ascii="Arial" w:hAnsi="Arial" w:cs="Arial"/>
          <w:sz w:val="22"/>
          <w:szCs w:val="22"/>
        </w:rPr>
      </w:pPr>
    </w:p>
    <w:p w:rsidR="007D6E89" w:rsidRPr="007D6E89" w:rsidRDefault="007D6E89" w:rsidP="007D6E89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6E89">
        <w:rPr>
          <w:rFonts w:ascii="Arial" w:hAnsi="Arial" w:cs="Arial"/>
          <w:b/>
          <w:bCs/>
          <w:sz w:val="22"/>
          <w:szCs w:val="22"/>
          <w:u w:val="single"/>
        </w:rPr>
        <w:t>Corporate income and corporate franchise tax collections</w:t>
      </w:r>
    </w:p>
    <w:p w:rsidR="007D6E89" w:rsidRPr="007D6E89" w:rsidRDefault="007D6E89" w:rsidP="007D6E8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D6E89">
        <w:rPr>
          <w:rFonts w:ascii="Arial" w:hAnsi="Arial" w:cs="Arial"/>
          <w:sz w:val="22"/>
          <w:szCs w:val="22"/>
        </w:rPr>
        <w:t>Decreased 17.6 percent for the year, from $51.5 million last year to $42.5 million this year.</w:t>
      </w:r>
    </w:p>
    <w:p w:rsidR="007D6E89" w:rsidRPr="007D6E89" w:rsidRDefault="007D6E89" w:rsidP="007D6E89">
      <w:pPr>
        <w:rPr>
          <w:rFonts w:ascii="Arial" w:hAnsi="Arial" w:cs="Arial"/>
          <w:sz w:val="22"/>
          <w:szCs w:val="22"/>
        </w:rPr>
      </w:pPr>
    </w:p>
    <w:p w:rsidR="007D6E89" w:rsidRPr="007D6E89" w:rsidRDefault="007D6E89" w:rsidP="007D6E89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6E89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:rsidR="007D6E89" w:rsidRPr="007D6E89" w:rsidRDefault="007D6E89" w:rsidP="007D6E8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D6E89">
        <w:rPr>
          <w:rFonts w:ascii="Arial" w:hAnsi="Arial" w:cs="Arial"/>
          <w:sz w:val="22"/>
          <w:szCs w:val="22"/>
        </w:rPr>
        <w:t>Increased 40.2 percent for the year, from $38.3 million last year to $53.7 million this year.</w:t>
      </w:r>
    </w:p>
    <w:p w:rsidR="007D6E89" w:rsidRPr="007D6E89" w:rsidRDefault="007D6E89" w:rsidP="007D6E89">
      <w:pPr>
        <w:rPr>
          <w:rFonts w:ascii="Arial" w:hAnsi="Arial" w:cs="Arial"/>
          <w:sz w:val="22"/>
          <w:szCs w:val="22"/>
        </w:rPr>
      </w:pPr>
    </w:p>
    <w:p w:rsidR="007D6E89" w:rsidRPr="007D6E89" w:rsidRDefault="007D6E89" w:rsidP="007D6E89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6E89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:rsidR="007D6E89" w:rsidRPr="007D6E89" w:rsidRDefault="007D6E89" w:rsidP="007D6E8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D6E89">
        <w:rPr>
          <w:rFonts w:ascii="Arial" w:hAnsi="Arial" w:cs="Arial"/>
          <w:sz w:val="22"/>
          <w:szCs w:val="22"/>
        </w:rPr>
        <w:t xml:space="preserve">Increased 72.1 percent for the year, from $52.0 million last year to $89.6 million this year. </w:t>
      </w:r>
    </w:p>
    <w:p w:rsidR="007D6E89" w:rsidRDefault="007D6E89" w:rsidP="007D6E89">
      <w:pPr>
        <w:rPr>
          <w:rFonts w:ascii="Arial" w:hAnsi="Arial" w:cs="Arial"/>
          <w:sz w:val="22"/>
          <w:szCs w:val="22"/>
        </w:rPr>
      </w:pPr>
    </w:p>
    <w:p w:rsidR="007D6E89" w:rsidRPr="007D6E89" w:rsidRDefault="007D6E89" w:rsidP="007D6E8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D6E89" w:rsidRPr="007D6E89" w:rsidRDefault="007D6E89" w:rsidP="007D6E89">
      <w:pPr>
        <w:rPr>
          <w:rFonts w:ascii="Arial" w:hAnsi="Arial" w:cs="Arial"/>
          <w:sz w:val="22"/>
          <w:szCs w:val="22"/>
        </w:rPr>
      </w:pPr>
      <w:r w:rsidRPr="007D6E89"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6E89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3BA08F4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2</cp:revision>
  <dcterms:created xsi:type="dcterms:W3CDTF">2023-08-02T16:12:00Z</dcterms:created>
  <dcterms:modified xsi:type="dcterms:W3CDTF">2023-08-02T16:12:00Z</dcterms:modified>
</cp:coreProperties>
</file>