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2F41F0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October 4</w:t>
      </w:r>
      <w:r w:rsidR="00003A3D">
        <w:rPr>
          <w:b/>
          <w:bCs/>
        </w:rPr>
        <w:t>, 202</w:t>
      </w:r>
      <w:r w:rsidR="0069692F">
        <w:rPr>
          <w:b/>
          <w:bCs/>
        </w:rPr>
        <w:t>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jc w:val="center"/>
        <w:rPr>
          <w:rFonts w:ascii="Arial" w:hAnsi="Arial" w:cs="Arial"/>
        </w:rPr>
      </w:pPr>
      <w:r w:rsidRPr="002F41F0">
        <w:rPr>
          <w:rFonts w:ascii="Arial" w:hAnsi="Arial" w:cs="Arial"/>
          <w:b/>
          <w:bCs/>
          <w:sz w:val="28"/>
        </w:rPr>
        <w:t>State Releases September 2023 General Revenue Report</w:t>
      </w: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ind w:firstLine="720"/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State Budget Director Dan Haug announced today that net general revenue collections for September 2023 declined 4.2 percent compared to those for September 2022, from $1.26 billion last year to $1.21 billion this year.</w:t>
      </w:r>
    </w:p>
    <w:p w:rsidR="002F41F0" w:rsidRPr="002F41F0" w:rsidRDefault="002F41F0" w:rsidP="002F41F0">
      <w:pPr>
        <w:ind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F41F0" w:rsidRPr="002F41F0" w:rsidRDefault="002F41F0" w:rsidP="002F41F0">
      <w:pPr>
        <w:ind w:firstLine="720"/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Net general revenue collections for 2024 fiscal year-to-date decreased 2.9 percent compared to September 2022, from $3.24 billion last year to $3.14 billion this year.</w:t>
      </w:r>
    </w:p>
    <w:p w:rsidR="002F41F0" w:rsidRPr="002F41F0" w:rsidRDefault="002F41F0" w:rsidP="002F41F0">
      <w:pPr>
        <w:ind w:firstLine="720"/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2F41F0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F41F0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2F41F0" w:rsidRPr="002F41F0" w:rsidRDefault="002F41F0" w:rsidP="002F41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Decreased 8.8 percent for the year, from $2.18 billion last year to $1.99 billion this year.</w:t>
      </w:r>
    </w:p>
    <w:p w:rsidR="002F41F0" w:rsidRPr="002F41F0" w:rsidRDefault="002F41F0" w:rsidP="002F41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Decreased 6.3 percent for the month.</w:t>
      </w: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F41F0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2F41F0" w:rsidRPr="002F41F0" w:rsidRDefault="002F41F0" w:rsidP="002F41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Increased 15.4 percent for the year, from $768.0 million last year to $886.2 million this year.</w:t>
      </w:r>
    </w:p>
    <w:p w:rsidR="002F41F0" w:rsidRPr="002F41F0" w:rsidRDefault="002F41F0" w:rsidP="002F41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 xml:space="preserve">Increased 11.1 percent for the month.  </w:t>
      </w: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F41F0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2F41F0" w:rsidRPr="002F41F0" w:rsidRDefault="002F41F0" w:rsidP="002F41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Decreased 8.9 percent for the year, from $259.7 million last year to $236.7 million this year.</w:t>
      </w:r>
    </w:p>
    <w:p w:rsidR="002F41F0" w:rsidRPr="002F41F0" w:rsidRDefault="002F41F0" w:rsidP="002F41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Decreased 7.3 percent for the month.</w:t>
      </w: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F41F0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2F41F0" w:rsidRPr="002F41F0" w:rsidRDefault="002F41F0" w:rsidP="002F41F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Increased 14.8 percent for the year, from $192.0 million last year to $220.4 million this year.</w:t>
      </w:r>
    </w:p>
    <w:p w:rsidR="002F41F0" w:rsidRPr="002F41F0" w:rsidRDefault="002F41F0" w:rsidP="002F41F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>Decreased 1.7 percent for the month.</w:t>
      </w: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F41F0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2F41F0" w:rsidRPr="002F41F0" w:rsidRDefault="002F41F0" w:rsidP="002F41F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 xml:space="preserve">Increased 14.9 percent for the year, from $166.3 million last year to $191.0 million this year. </w:t>
      </w:r>
    </w:p>
    <w:p w:rsidR="002F41F0" w:rsidRPr="002F41F0" w:rsidRDefault="002F41F0" w:rsidP="002F41F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sz w:val="22"/>
          <w:szCs w:val="22"/>
        </w:rPr>
        <w:t xml:space="preserve">Increased 28.8 percent for the month. </w:t>
      </w: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  <w:r w:rsidRPr="002F41F0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2F41F0" w:rsidRPr="002F41F0" w:rsidRDefault="002F41F0" w:rsidP="002F41F0">
      <w:pPr>
        <w:rPr>
          <w:rFonts w:ascii="Arial" w:hAnsi="Arial" w:cs="Arial"/>
          <w:sz w:val="22"/>
          <w:szCs w:val="22"/>
        </w:rPr>
      </w:pPr>
    </w:p>
    <w:p w:rsidR="002F41F0" w:rsidRPr="002F41F0" w:rsidRDefault="002F41F0" w:rsidP="002F41F0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2F41F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1B5369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2023-10-03T21:40:00Z</dcterms:created>
  <dcterms:modified xsi:type="dcterms:W3CDTF">2023-10-03T21:40:00Z</dcterms:modified>
</cp:coreProperties>
</file>