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14:paraId="30B6636C" w14:textId="77777777" w:rsidTr="00AD6BC8">
        <w:tc>
          <w:tcPr>
            <w:tcW w:w="3192" w:type="dxa"/>
          </w:tcPr>
          <w:p w14:paraId="70B9E8BE" w14:textId="77777777"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14:paraId="2722B384" w14:textId="77777777"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501AD" wp14:editId="1F0E1707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94D9768" w14:textId="77777777" w:rsidR="001022EF" w:rsidRDefault="001022EF" w:rsidP="001022EF">
            <w:pPr>
              <w:jc w:val="center"/>
            </w:pPr>
          </w:p>
        </w:tc>
      </w:tr>
      <w:tr w:rsidR="001022EF" w:rsidRPr="00B93AD1" w14:paraId="2DCD6BED" w14:textId="77777777" w:rsidTr="00AD6BC8">
        <w:tc>
          <w:tcPr>
            <w:tcW w:w="3192" w:type="dxa"/>
          </w:tcPr>
          <w:p w14:paraId="6010FCC6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6BE3045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494E6F9A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611C4B0C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577FEFA" w14:textId="77777777"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14:paraId="377D7AB6" w14:textId="77777777"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14:paraId="63D9734E" w14:textId="77777777"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14:paraId="2829535A" w14:textId="77777777"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14:paraId="546F5945" w14:textId="77777777"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14:paraId="4EC08109" w14:textId="77777777"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14:paraId="4A230F5C" w14:textId="77777777"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14:paraId="3E111523" w14:textId="77777777"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14:paraId="3064BBF4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238B4A1F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31A74FDE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7AAFD1DC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4612D96F" w14:textId="77777777"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14:paraId="5C2C628C" w14:textId="77777777"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14:paraId="3CB23F7C" w14:textId="77777777" w:rsidR="00933352" w:rsidRPr="00E05F7C" w:rsidRDefault="00933352" w:rsidP="00933352">
      <w:pPr>
        <w:jc w:val="center"/>
        <w:rPr>
          <w:b/>
          <w:sz w:val="20"/>
          <w:szCs w:val="20"/>
        </w:rPr>
      </w:pPr>
    </w:p>
    <w:p w14:paraId="1D3A5077" w14:textId="77777777"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14:paraId="612DA598" w14:textId="77777777"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14:paraId="2F36932F" w14:textId="77777777"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14:paraId="5BB9392E" w14:textId="4921D276" w:rsidR="00933352" w:rsidRPr="002F039D" w:rsidRDefault="00F14D9C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May</w:t>
      </w:r>
      <w:r w:rsidR="002F41F0">
        <w:rPr>
          <w:b/>
          <w:bCs/>
        </w:rPr>
        <w:t xml:space="preserve"> </w:t>
      </w:r>
      <w:r w:rsidR="007F2575">
        <w:rPr>
          <w:b/>
          <w:bCs/>
        </w:rPr>
        <w:t>6</w:t>
      </w:r>
      <w:r w:rsidR="00003A3D">
        <w:rPr>
          <w:b/>
          <w:bCs/>
        </w:rPr>
        <w:t>, 202</w:t>
      </w:r>
      <w:r>
        <w:rPr>
          <w:b/>
          <w:bCs/>
        </w:rPr>
        <w:t>4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14:paraId="2C2F80F0" w14:textId="77777777" w:rsidR="008F70AA" w:rsidRPr="00F14D9C" w:rsidRDefault="008F70AA" w:rsidP="00C3160F">
      <w:pPr>
        <w:rPr>
          <w:rFonts w:ascii="Arial" w:hAnsi="Arial" w:cs="Arial"/>
          <w:sz w:val="18"/>
          <w:szCs w:val="18"/>
        </w:rPr>
      </w:pPr>
    </w:p>
    <w:p w14:paraId="1B00A4BC" w14:textId="77777777" w:rsidR="00F14D9C" w:rsidRPr="00F14D9C" w:rsidRDefault="00F14D9C" w:rsidP="00F14D9C">
      <w:pPr>
        <w:jc w:val="center"/>
        <w:rPr>
          <w:rFonts w:ascii="Arial" w:hAnsi="Arial" w:cs="Arial"/>
        </w:rPr>
      </w:pPr>
      <w:r w:rsidRPr="00F14D9C">
        <w:rPr>
          <w:rFonts w:ascii="Arial" w:hAnsi="Arial" w:cs="Arial"/>
          <w:b/>
          <w:bCs/>
          <w:sz w:val="28"/>
        </w:rPr>
        <w:t>State Releases April 2024 General Revenue Report</w:t>
      </w:r>
    </w:p>
    <w:p w14:paraId="02BC755A" w14:textId="77777777" w:rsidR="00F14D9C" w:rsidRPr="00F14D9C" w:rsidRDefault="00F14D9C" w:rsidP="00F14D9C">
      <w:pPr>
        <w:rPr>
          <w:rFonts w:ascii="Arial" w:hAnsi="Arial" w:cs="Arial"/>
          <w:sz w:val="18"/>
          <w:szCs w:val="18"/>
        </w:rPr>
      </w:pPr>
    </w:p>
    <w:p w14:paraId="12EEA1E4" w14:textId="77777777" w:rsidR="00F14D9C" w:rsidRPr="00F14D9C" w:rsidRDefault="00F14D9C" w:rsidP="00F14D9C">
      <w:pPr>
        <w:ind w:firstLine="720"/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State Budget Director Dan Haug announced today that net general revenue collections for April 2024 increased 20.3 percent compared to those for April 2023, from $1.15 billion last year to $1.38 billion this year.</w:t>
      </w:r>
    </w:p>
    <w:p w14:paraId="67C5510A" w14:textId="77777777" w:rsidR="00F14D9C" w:rsidRPr="00F14D9C" w:rsidRDefault="00F14D9C" w:rsidP="00F14D9C">
      <w:pPr>
        <w:ind w:firstLine="720"/>
        <w:rPr>
          <w:rFonts w:ascii="Arial" w:hAnsi="Arial" w:cs="Arial"/>
          <w:sz w:val="18"/>
          <w:szCs w:val="18"/>
        </w:rPr>
      </w:pPr>
    </w:p>
    <w:p w14:paraId="17C2D9BB" w14:textId="77777777" w:rsidR="00F14D9C" w:rsidRPr="00F14D9C" w:rsidRDefault="00F14D9C" w:rsidP="00F14D9C">
      <w:pPr>
        <w:ind w:firstLine="720"/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Net general revenue collections for 2024 fiscal year-to-date increased 2.7 percent compared to April 2023, from $10.42 billion last year to $10.70 billion this year.</w:t>
      </w:r>
    </w:p>
    <w:p w14:paraId="2927A065" w14:textId="77777777" w:rsidR="00F14D9C" w:rsidRPr="00F14D9C" w:rsidRDefault="00F14D9C" w:rsidP="00F14D9C">
      <w:pPr>
        <w:ind w:firstLine="720"/>
        <w:rPr>
          <w:rFonts w:ascii="Arial" w:hAnsi="Arial" w:cs="Arial"/>
          <w:sz w:val="18"/>
          <w:szCs w:val="18"/>
        </w:rPr>
      </w:pPr>
    </w:p>
    <w:p w14:paraId="704104C7" w14:textId="77777777" w:rsidR="00F14D9C" w:rsidRPr="00F14D9C" w:rsidRDefault="00F14D9C" w:rsidP="00F14D9C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F14D9C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14:paraId="09612814" w14:textId="77777777" w:rsidR="00F14D9C" w:rsidRPr="00F14D9C" w:rsidRDefault="00F14D9C" w:rsidP="00F14D9C">
      <w:pPr>
        <w:rPr>
          <w:rFonts w:ascii="Arial" w:hAnsi="Arial" w:cs="Arial"/>
          <w:sz w:val="18"/>
          <w:szCs w:val="18"/>
        </w:rPr>
      </w:pPr>
    </w:p>
    <w:p w14:paraId="6F4B3C63" w14:textId="77777777" w:rsidR="00F14D9C" w:rsidRPr="00F14D9C" w:rsidRDefault="00F14D9C" w:rsidP="00F14D9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14D9C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14:paraId="345899DA" w14:textId="77777777" w:rsidR="00F14D9C" w:rsidRPr="00F14D9C" w:rsidRDefault="00F14D9C" w:rsidP="00F14D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Decreased 7.3 percent for the year, from $7.96 billion last year to $7.38 billion this year.</w:t>
      </w:r>
    </w:p>
    <w:p w14:paraId="46130BA6" w14:textId="77777777" w:rsidR="00F14D9C" w:rsidRPr="00F14D9C" w:rsidRDefault="00F14D9C" w:rsidP="00F14D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Increased 10.6 percent for the month.</w:t>
      </w:r>
    </w:p>
    <w:p w14:paraId="63B2B5C5" w14:textId="77777777" w:rsidR="00F14D9C" w:rsidRPr="00F14D9C" w:rsidRDefault="00F14D9C" w:rsidP="00F14D9C">
      <w:pPr>
        <w:keepNext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9F437EF" w14:textId="77777777" w:rsidR="00F14D9C" w:rsidRPr="00F14D9C" w:rsidRDefault="00F14D9C" w:rsidP="00F14D9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14D9C">
        <w:rPr>
          <w:rFonts w:ascii="Arial" w:hAnsi="Arial" w:cs="Arial"/>
          <w:b/>
          <w:bCs/>
          <w:sz w:val="22"/>
          <w:szCs w:val="22"/>
          <w:u w:val="single"/>
        </w:rPr>
        <w:t>Pass Through Entity tax collections</w:t>
      </w:r>
    </w:p>
    <w:p w14:paraId="09129ED9" w14:textId="77777777" w:rsidR="00F14D9C" w:rsidRPr="00F14D9C" w:rsidRDefault="00F14D9C" w:rsidP="00F14D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Increased from $0 to $537.2 million this year.</w:t>
      </w:r>
    </w:p>
    <w:p w14:paraId="2A64A833" w14:textId="77777777" w:rsidR="00F14D9C" w:rsidRPr="00F14D9C" w:rsidRDefault="00F14D9C" w:rsidP="00F14D9C">
      <w:pPr>
        <w:rPr>
          <w:rFonts w:ascii="Arial" w:hAnsi="Arial" w:cs="Arial"/>
          <w:sz w:val="18"/>
          <w:szCs w:val="18"/>
        </w:rPr>
      </w:pPr>
    </w:p>
    <w:p w14:paraId="72957D4C" w14:textId="77777777" w:rsidR="00F14D9C" w:rsidRPr="00F14D9C" w:rsidRDefault="00F14D9C" w:rsidP="00F14D9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14D9C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14:paraId="6BF4C577" w14:textId="77777777" w:rsidR="00F14D9C" w:rsidRPr="00F14D9C" w:rsidRDefault="00F14D9C" w:rsidP="00F14D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Increased 10.2 percent for the year, from $2.42 billion last year to $2.67 billion this year.</w:t>
      </w:r>
    </w:p>
    <w:p w14:paraId="284865FC" w14:textId="77777777" w:rsidR="00F14D9C" w:rsidRPr="00F14D9C" w:rsidRDefault="00F14D9C" w:rsidP="00F14D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 xml:space="preserve">Increased 22.1 percent for the month.  </w:t>
      </w:r>
    </w:p>
    <w:p w14:paraId="7C7D42D8" w14:textId="77777777" w:rsidR="00F14D9C" w:rsidRPr="00F14D9C" w:rsidRDefault="00F14D9C" w:rsidP="00F14D9C">
      <w:pPr>
        <w:rPr>
          <w:rFonts w:ascii="Arial" w:hAnsi="Arial" w:cs="Arial"/>
          <w:sz w:val="18"/>
          <w:szCs w:val="18"/>
        </w:rPr>
      </w:pPr>
    </w:p>
    <w:p w14:paraId="6C7A518D" w14:textId="77777777" w:rsidR="00F14D9C" w:rsidRPr="00F14D9C" w:rsidRDefault="00F14D9C" w:rsidP="00F14D9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14D9C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14:paraId="2B977C72" w14:textId="77777777" w:rsidR="00F14D9C" w:rsidRPr="00F14D9C" w:rsidRDefault="00F14D9C" w:rsidP="00F14D9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Increased 2.2 percent for the year, from $795.2 million last year to $812.6 million this year.</w:t>
      </w:r>
    </w:p>
    <w:p w14:paraId="6D8DDC61" w14:textId="77777777" w:rsidR="00F14D9C" w:rsidRPr="00F14D9C" w:rsidRDefault="00F14D9C" w:rsidP="00F14D9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Increased 4.5 percent for the month.</w:t>
      </w:r>
    </w:p>
    <w:p w14:paraId="764C7390" w14:textId="77777777" w:rsidR="00F14D9C" w:rsidRPr="00F14D9C" w:rsidRDefault="00F14D9C" w:rsidP="00F14D9C">
      <w:pPr>
        <w:rPr>
          <w:rFonts w:ascii="Arial" w:hAnsi="Arial" w:cs="Arial"/>
          <w:sz w:val="18"/>
          <w:szCs w:val="18"/>
        </w:rPr>
      </w:pPr>
    </w:p>
    <w:p w14:paraId="6DFA651A" w14:textId="77777777" w:rsidR="00F14D9C" w:rsidRPr="00F14D9C" w:rsidRDefault="00F14D9C" w:rsidP="00F14D9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14D9C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14:paraId="3A059826" w14:textId="77777777" w:rsidR="00F14D9C" w:rsidRPr="00F14D9C" w:rsidRDefault="00F14D9C" w:rsidP="00F14D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Increased 21.2 percent for the year, from $634.6 million last year to $769.1 million this year.</w:t>
      </w:r>
    </w:p>
    <w:p w14:paraId="03AAAD78" w14:textId="77777777" w:rsidR="00F14D9C" w:rsidRPr="00F14D9C" w:rsidRDefault="00F14D9C" w:rsidP="00F14D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>Decreased 28.9 percent for the month.</w:t>
      </w:r>
    </w:p>
    <w:p w14:paraId="45CD88E5" w14:textId="77777777" w:rsidR="00F14D9C" w:rsidRPr="00F14D9C" w:rsidRDefault="00F14D9C" w:rsidP="00F14D9C">
      <w:pPr>
        <w:rPr>
          <w:rFonts w:ascii="Arial" w:hAnsi="Arial" w:cs="Arial"/>
          <w:sz w:val="18"/>
          <w:szCs w:val="18"/>
        </w:rPr>
      </w:pPr>
    </w:p>
    <w:p w14:paraId="79098AC9" w14:textId="77777777" w:rsidR="00F14D9C" w:rsidRPr="00F14D9C" w:rsidRDefault="00F14D9C" w:rsidP="00F14D9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14D9C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14:paraId="7E1E39CD" w14:textId="77777777" w:rsidR="00F14D9C" w:rsidRPr="00F14D9C" w:rsidRDefault="00F14D9C" w:rsidP="00F14D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 xml:space="preserve">Increased 5.5 percent for the year, from $1.40 billion last year to $1.47 billion this year. </w:t>
      </w:r>
    </w:p>
    <w:p w14:paraId="689C662E" w14:textId="77777777" w:rsidR="00F14D9C" w:rsidRPr="00F14D9C" w:rsidRDefault="00F14D9C" w:rsidP="00F14D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sz w:val="22"/>
          <w:szCs w:val="22"/>
        </w:rPr>
        <w:t xml:space="preserve">Increased 2.0 percent for the month. </w:t>
      </w:r>
    </w:p>
    <w:p w14:paraId="5308E487" w14:textId="77777777" w:rsidR="00F14D9C" w:rsidRPr="00F14D9C" w:rsidRDefault="00F14D9C" w:rsidP="00F14D9C">
      <w:pPr>
        <w:rPr>
          <w:rFonts w:ascii="Arial" w:hAnsi="Arial" w:cs="Arial"/>
          <w:sz w:val="18"/>
          <w:szCs w:val="18"/>
        </w:rPr>
      </w:pPr>
    </w:p>
    <w:p w14:paraId="1733E583" w14:textId="77777777" w:rsidR="00F14D9C" w:rsidRPr="00F14D9C" w:rsidRDefault="00F14D9C" w:rsidP="00F14D9C">
      <w:pPr>
        <w:rPr>
          <w:rFonts w:ascii="Arial" w:hAnsi="Arial" w:cs="Arial"/>
          <w:i/>
          <w:iCs/>
        </w:rPr>
      </w:pPr>
      <w:r w:rsidRPr="00F14D9C">
        <w:rPr>
          <w:rFonts w:ascii="Arial" w:hAnsi="Arial" w:cs="Arial"/>
          <w:i/>
          <w:iCs/>
        </w:rPr>
        <w:t>Pass-Through Entity tax collections were previously reported within Individual Income, which makes growth in Individual Income tax collections appear artificially low.</w:t>
      </w:r>
    </w:p>
    <w:p w14:paraId="3CF89D98" w14:textId="77777777" w:rsidR="00F14D9C" w:rsidRPr="00F14D9C" w:rsidRDefault="00F14D9C" w:rsidP="00F14D9C">
      <w:pPr>
        <w:rPr>
          <w:rFonts w:ascii="Arial" w:hAnsi="Arial" w:cs="Arial"/>
          <w:i/>
          <w:iCs/>
          <w:sz w:val="18"/>
          <w:szCs w:val="18"/>
        </w:rPr>
      </w:pPr>
    </w:p>
    <w:p w14:paraId="1DDF9A05" w14:textId="28C2A33E" w:rsidR="006B48EF" w:rsidRPr="007E7A25" w:rsidRDefault="00F14D9C" w:rsidP="00F14D9C">
      <w:pPr>
        <w:tabs>
          <w:tab w:val="left" w:pos="9540"/>
        </w:tabs>
        <w:rPr>
          <w:rFonts w:ascii="Arial" w:hAnsi="Arial" w:cs="Arial"/>
          <w:sz w:val="22"/>
          <w:szCs w:val="22"/>
        </w:rPr>
      </w:pPr>
      <w:r w:rsidRPr="00F14D9C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14:paraId="5F9365CB" w14:textId="4F588A9A"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028914">
    <w:abstractNumId w:val="2"/>
  </w:num>
  <w:num w:numId="2" w16cid:durableId="1387028872">
    <w:abstractNumId w:val="1"/>
  </w:num>
  <w:num w:numId="3" w16cid:durableId="585845540">
    <w:abstractNumId w:val="0"/>
  </w:num>
  <w:num w:numId="4" w16cid:durableId="26824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641C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2F41F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2575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4D9C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1B9A89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2024-05-02T20:50:00Z</dcterms:created>
  <dcterms:modified xsi:type="dcterms:W3CDTF">2024-05-03T21:13:00Z</dcterms:modified>
</cp:coreProperties>
</file>