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FC6632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September</w:t>
      </w:r>
      <w:r w:rsidR="00694FE6">
        <w:rPr>
          <w:b/>
          <w:bCs/>
        </w:rPr>
        <w:t xml:space="preserve"> </w:t>
      </w:r>
      <w:r>
        <w:rPr>
          <w:b/>
          <w:bCs/>
        </w:rPr>
        <w:t>5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78479D" w:rsidRPr="007004F3" w:rsidRDefault="0078479D" w:rsidP="0078479D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>State Releases August 2017 General Revenue Report</w:t>
      </w:r>
    </w:p>
    <w:p w:rsidR="0078479D" w:rsidRPr="007004F3" w:rsidRDefault="0078479D" w:rsidP="0078479D">
      <w:pPr>
        <w:rPr>
          <w:rFonts w:ascii="Arial" w:hAnsi="Arial" w:cs="Arial"/>
          <w:sz w:val="22"/>
          <w:szCs w:val="22"/>
        </w:rPr>
      </w:pPr>
    </w:p>
    <w:p w:rsidR="0078479D" w:rsidRPr="007004F3" w:rsidRDefault="0078479D" w:rsidP="0078479D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State Budget Director Dan Haug announced today that August 2017 net general revenue collections increased 7</w:t>
      </w:r>
      <w:r>
        <w:rPr>
          <w:rFonts w:ascii="Arial" w:hAnsi="Arial" w:cs="Arial"/>
          <w:sz w:val="22"/>
          <w:szCs w:val="22"/>
        </w:rPr>
        <w:t>.0</w:t>
      </w:r>
      <w:r w:rsidRPr="007004F3">
        <w:rPr>
          <w:rFonts w:ascii="Arial" w:hAnsi="Arial" w:cs="Arial"/>
          <w:sz w:val="22"/>
          <w:szCs w:val="22"/>
        </w:rPr>
        <w:t xml:space="preserve"> percent compared to August 2016, from $740.6 million last year to $792.3 million this year.  </w:t>
      </w:r>
    </w:p>
    <w:p w:rsidR="0078479D" w:rsidRPr="007004F3" w:rsidRDefault="0078479D" w:rsidP="0078479D">
      <w:pPr>
        <w:ind w:firstLine="720"/>
        <w:rPr>
          <w:rFonts w:ascii="Arial" w:hAnsi="Arial" w:cs="Arial"/>
          <w:sz w:val="22"/>
          <w:szCs w:val="22"/>
        </w:rPr>
      </w:pPr>
    </w:p>
    <w:p w:rsidR="0078479D" w:rsidRPr="007004F3" w:rsidRDefault="0078479D" w:rsidP="0078479D">
      <w:pPr>
        <w:pStyle w:val="Heading2"/>
        <w:rPr>
          <w:sz w:val="22"/>
          <w:szCs w:val="22"/>
        </w:rPr>
      </w:pPr>
    </w:p>
    <w:p w:rsidR="0078479D" w:rsidRPr="007004F3" w:rsidRDefault="0078479D" w:rsidP="0078479D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78479D" w:rsidRPr="007004F3" w:rsidRDefault="0078479D" w:rsidP="0078479D">
      <w:pPr>
        <w:rPr>
          <w:rFonts w:ascii="Arial" w:hAnsi="Arial" w:cs="Arial"/>
          <w:sz w:val="22"/>
          <w:szCs w:val="22"/>
        </w:rPr>
      </w:pPr>
    </w:p>
    <w:p w:rsidR="0078479D" w:rsidRPr="007004F3" w:rsidRDefault="0078479D" w:rsidP="0078479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78479D" w:rsidRPr="007004F3" w:rsidRDefault="0078479D" w:rsidP="007847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Increased 2.3 percent for the year, from $958</w:t>
      </w:r>
      <w:r>
        <w:rPr>
          <w:rFonts w:ascii="Arial" w:hAnsi="Arial" w:cs="Arial"/>
          <w:sz w:val="22"/>
          <w:szCs w:val="22"/>
        </w:rPr>
        <w:t>.0</w:t>
      </w:r>
      <w:r w:rsidRPr="007004F3">
        <w:rPr>
          <w:rFonts w:ascii="Arial" w:hAnsi="Arial" w:cs="Arial"/>
          <w:sz w:val="22"/>
          <w:szCs w:val="22"/>
        </w:rPr>
        <w:t xml:space="preserve"> million last year to $980.2 million this year.</w:t>
      </w:r>
    </w:p>
    <w:p w:rsidR="0078479D" w:rsidRDefault="0078479D" w:rsidP="007847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Decreased 1</w:t>
      </w:r>
      <w:r>
        <w:rPr>
          <w:rFonts w:ascii="Arial" w:hAnsi="Arial" w:cs="Arial"/>
          <w:sz w:val="22"/>
          <w:szCs w:val="22"/>
        </w:rPr>
        <w:t>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78479D" w:rsidRPr="007004F3" w:rsidRDefault="0078479D" w:rsidP="0078479D">
      <w:pPr>
        <w:rPr>
          <w:rFonts w:ascii="Arial" w:hAnsi="Arial" w:cs="Arial"/>
          <w:sz w:val="22"/>
          <w:szCs w:val="22"/>
        </w:rPr>
      </w:pPr>
    </w:p>
    <w:p w:rsidR="0078479D" w:rsidRPr="007004F3" w:rsidRDefault="0078479D" w:rsidP="0078479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78479D" w:rsidRPr="007004F3" w:rsidRDefault="0078479D" w:rsidP="007847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Increased 4.6 percent for the year from $358.1 million last year to $374.4 million this year.</w:t>
      </w:r>
    </w:p>
    <w:p w:rsidR="0078479D" w:rsidRPr="007004F3" w:rsidRDefault="0078479D" w:rsidP="007847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Increased 9.8 percent for the month.</w:t>
      </w:r>
    </w:p>
    <w:p w:rsidR="0078479D" w:rsidRPr="007004F3" w:rsidRDefault="0078479D" w:rsidP="0078479D">
      <w:pPr>
        <w:rPr>
          <w:rFonts w:ascii="Arial" w:hAnsi="Arial" w:cs="Arial"/>
          <w:sz w:val="22"/>
          <w:szCs w:val="22"/>
        </w:rPr>
      </w:pPr>
    </w:p>
    <w:p w:rsidR="0078479D" w:rsidRPr="007004F3" w:rsidRDefault="0078479D" w:rsidP="0078479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78479D" w:rsidRPr="007004F3" w:rsidRDefault="0078479D" w:rsidP="0078479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Increased 16.6 percent for the year, from $24.3 million last year to $28.3 million this year.</w:t>
      </w:r>
    </w:p>
    <w:p w:rsidR="0078479D" w:rsidRPr="007004F3" w:rsidRDefault="0078479D" w:rsidP="0078479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Decreased 4.8 percent for the month.</w:t>
      </w:r>
    </w:p>
    <w:p w:rsidR="0078479D" w:rsidRPr="007004F3" w:rsidRDefault="0078479D" w:rsidP="0078479D">
      <w:pPr>
        <w:rPr>
          <w:rFonts w:ascii="Arial" w:hAnsi="Arial" w:cs="Arial"/>
          <w:sz w:val="22"/>
          <w:szCs w:val="22"/>
        </w:rPr>
      </w:pPr>
    </w:p>
    <w:p w:rsidR="0078479D" w:rsidRPr="007004F3" w:rsidRDefault="0078479D" w:rsidP="0078479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78479D" w:rsidRPr="007004F3" w:rsidRDefault="0078479D" w:rsidP="007847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Increased 79.3 percent for the year, from $41</w:t>
      </w:r>
      <w:r>
        <w:rPr>
          <w:rFonts w:ascii="Arial" w:hAnsi="Arial" w:cs="Arial"/>
          <w:sz w:val="22"/>
          <w:szCs w:val="22"/>
        </w:rPr>
        <w:t>.0</w:t>
      </w:r>
      <w:r w:rsidRPr="007004F3">
        <w:rPr>
          <w:rFonts w:ascii="Arial" w:hAnsi="Arial" w:cs="Arial"/>
          <w:sz w:val="22"/>
          <w:szCs w:val="22"/>
        </w:rPr>
        <w:t xml:space="preserve"> million last year to $73.5 million this year.</w:t>
      </w:r>
    </w:p>
    <w:p w:rsidR="0078479D" w:rsidRPr="007004F3" w:rsidRDefault="0078479D" w:rsidP="007847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Increased 58.4 percent for the month.</w:t>
      </w:r>
    </w:p>
    <w:p w:rsidR="0078479D" w:rsidRPr="007004F3" w:rsidRDefault="0078479D" w:rsidP="0078479D">
      <w:pPr>
        <w:rPr>
          <w:rFonts w:ascii="Arial" w:hAnsi="Arial" w:cs="Arial"/>
          <w:sz w:val="22"/>
          <w:szCs w:val="22"/>
        </w:rPr>
      </w:pPr>
    </w:p>
    <w:p w:rsidR="0078479D" w:rsidRPr="007004F3" w:rsidRDefault="0078479D" w:rsidP="0078479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78479D" w:rsidRPr="007004F3" w:rsidRDefault="0078479D" w:rsidP="007847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Decreased 8</w:t>
      </w:r>
      <w:r>
        <w:rPr>
          <w:rFonts w:ascii="Arial" w:hAnsi="Arial" w:cs="Arial"/>
          <w:sz w:val="22"/>
          <w:szCs w:val="22"/>
        </w:rPr>
        <w:t>.0</w:t>
      </w:r>
      <w:r w:rsidRPr="007004F3">
        <w:rPr>
          <w:rFonts w:ascii="Arial" w:hAnsi="Arial" w:cs="Arial"/>
          <w:sz w:val="22"/>
          <w:szCs w:val="22"/>
        </w:rPr>
        <w:t xml:space="preserve"> percent for the year, from $97.7 million last year to $89.9 million this year. </w:t>
      </w:r>
    </w:p>
    <w:p w:rsidR="0078479D" w:rsidRPr="007004F3" w:rsidRDefault="0078479D" w:rsidP="007847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Decreased 33.8 percent for the month.</w:t>
      </w:r>
    </w:p>
    <w:p w:rsidR="0078479D" w:rsidRDefault="0078479D" w:rsidP="0078479D">
      <w:pPr>
        <w:rPr>
          <w:rFonts w:ascii="Arial" w:hAnsi="Arial" w:cs="Arial"/>
          <w:sz w:val="22"/>
          <w:szCs w:val="22"/>
        </w:rPr>
      </w:pPr>
    </w:p>
    <w:p w:rsidR="0078479D" w:rsidRDefault="0078479D" w:rsidP="0078479D">
      <w:pPr>
        <w:rPr>
          <w:rFonts w:ascii="Arial" w:hAnsi="Arial" w:cs="Arial"/>
          <w:sz w:val="22"/>
          <w:szCs w:val="22"/>
        </w:rPr>
      </w:pPr>
    </w:p>
    <w:p w:rsidR="0078479D" w:rsidRDefault="0078479D" w:rsidP="0078479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78479D" w:rsidRDefault="0078479D" w:rsidP="0078479D">
      <w:pPr>
        <w:ind w:firstLine="360"/>
        <w:rPr>
          <w:rFonts w:ascii="Arial" w:hAnsi="Arial" w:cs="Arial"/>
          <w:sz w:val="22"/>
          <w:szCs w:val="22"/>
        </w:rPr>
      </w:pPr>
    </w:p>
    <w:p w:rsidR="0078479D" w:rsidRDefault="0078479D" w:rsidP="0078479D">
      <w:pPr>
        <w:ind w:firstLine="360"/>
        <w:rPr>
          <w:rFonts w:ascii="Arial" w:hAnsi="Arial" w:cs="Arial"/>
          <w:sz w:val="22"/>
          <w:szCs w:val="22"/>
        </w:rPr>
      </w:pPr>
    </w:p>
    <w:p w:rsidR="0078479D" w:rsidRPr="00E67093" w:rsidRDefault="0078479D" w:rsidP="0078479D">
      <w:pPr>
        <w:ind w:firstLine="360"/>
        <w:rPr>
          <w:rFonts w:ascii="Arial" w:hAnsi="Arial" w:cs="Arial"/>
          <w:sz w:val="22"/>
          <w:szCs w:val="22"/>
        </w:rPr>
      </w:pP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>50</w:t>
      </w:r>
      <w:r w:rsidRPr="00CD2D4B">
        <w:rPr>
          <w:rFonts w:ascii="Arial" w:hAnsi="Arial" w:cs="Arial"/>
          <w:sz w:val="22"/>
          <w:szCs w:val="22"/>
        </w:rPr>
        <w:t xml:space="preserve"> million from the Budget Reserve Fund for cash flow purposes. The funds will be repaid before the Constitutional deadline of May 15, 20</w:t>
      </w:r>
      <w:r>
        <w:rPr>
          <w:rFonts w:ascii="Arial" w:hAnsi="Arial" w:cs="Arial"/>
          <w:sz w:val="22"/>
          <w:szCs w:val="22"/>
        </w:rPr>
        <w:t>18</w:t>
      </w:r>
      <w:r w:rsidRPr="00CD2D4B">
        <w:rPr>
          <w:rFonts w:ascii="Arial" w:hAnsi="Arial" w:cs="Arial"/>
          <w:sz w:val="22"/>
          <w:szCs w:val="22"/>
        </w:rPr>
        <w:t>.</w:t>
      </w:r>
    </w:p>
    <w:p w:rsidR="0078479D" w:rsidRPr="00E67093" w:rsidRDefault="0078479D" w:rsidP="0078479D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4CB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79D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6632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2017-09-05T20:47:00Z</dcterms:created>
  <dcterms:modified xsi:type="dcterms:W3CDTF">2017-09-05T20:47:00Z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