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Eric R. Greitens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884BA0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November</w:t>
      </w:r>
      <w:r w:rsidR="00694FE6">
        <w:rPr>
          <w:b/>
          <w:bCs/>
        </w:rPr>
        <w:t xml:space="preserve"> </w:t>
      </w:r>
      <w:r w:rsidR="009C51B0">
        <w:rPr>
          <w:b/>
          <w:bCs/>
        </w:rPr>
        <w:t>2</w:t>
      </w:r>
      <w:r w:rsidR="001B53D5">
        <w:rPr>
          <w:b/>
          <w:bCs/>
        </w:rPr>
        <w:t>, 201</w:t>
      </w:r>
      <w:r w:rsidR="001022EF">
        <w:rPr>
          <w:b/>
          <w:bCs/>
        </w:rPr>
        <w:t>7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884BA0" w:rsidRPr="007004F3" w:rsidRDefault="00884BA0" w:rsidP="00884BA0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October</w:t>
      </w:r>
      <w:r w:rsidRPr="007004F3">
        <w:rPr>
          <w:rFonts w:ascii="Arial" w:hAnsi="Arial" w:cs="Arial"/>
          <w:b/>
          <w:bCs/>
          <w:sz w:val="28"/>
        </w:rPr>
        <w:t xml:space="preserve"> 2017 General Revenue Report</w:t>
      </w:r>
    </w:p>
    <w:p w:rsidR="00884BA0" w:rsidRPr="007004F3" w:rsidRDefault="00884BA0" w:rsidP="00884BA0">
      <w:pPr>
        <w:rPr>
          <w:rFonts w:ascii="Arial" w:hAnsi="Arial" w:cs="Arial"/>
          <w:sz w:val="22"/>
          <w:szCs w:val="22"/>
        </w:rPr>
      </w:pPr>
    </w:p>
    <w:p w:rsidR="00884BA0" w:rsidRPr="00EB2EEE" w:rsidRDefault="00884BA0" w:rsidP="00884BA0">
      <w:pPr>
        <w:ind w:firstLine="720"/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sz w:val="20"/>
          <w:szCs w:val="20"/>
        </w:rPr>
        <w:t>State Budget Director Dan Haug announced today that October 2017 net general revenue collections increased 8.9 percent compared to October 2016, from $585.1 million last year to $637.3 million this year.</w:t>
      </w:r>
    </w:p>
    <w:p w:rsidR="00884BA0" w:rsidRPr="00EB2EEE" w:rsidRDefault="00884BA0" w:rsidP="00884BA0">
      <w:pPr>
        <w:pStyle w:val="Heading2"/>
        <w:rPr>
          <w:sz w:val="20"/>
          <w:szCs w:val="20"/>
        </w:rPr>
      </w:pPr>
    </w:p>
    <w:p w:rsidR="00884BA0" w:rsidRPr="00EB2EEE" w:rsidRDefault="00884BA0" w:rsidP="00884BA0">
      <w:pPr>
        <w:pStyle w:val="Heading2"/>
        <w:rPr>
          <w:sz w:val="20"/>
          <w:szCs w:val="20"/>
        </w:rPr>
      </w:pPr>
      <w:r w:rsidRPr="00EB2EEE">
        <w:rPr>
          <w:sz w:val="20"/>
          <w:szCs w:val="20"/>
        </w:rPr>
        <w:t>GROSS COLLECTIONS BY TAX TYPE</w:t>
      </w:r>
    </w:p>
    <w:p w:rsidR="00884BA0" w:rsidRPr="00EB2EEE" w:rsidRDefault="00884BA0" w:rsidP="00884BA0">
      <w:pPr>
        <w:rPr>
          <w:rFonts w:ascii="Arial" w:hAnsi="Arial" w:cs="Arial"/>
          <w:sz w:val="20"/>
          <w:szCs w:val="20"/>
        </w:rPr>
      </w:pPr>
    </w:p>
    <w:p w:rsidR="00884BA0" w:rsidRPr="00EB2EEE" w:rsidRDefault="00884BA0" w:rsidP="00884BA0">
      <w:pPr>
        <w:pStyle w:val="Heading1"/>
        <w:rPr>
          <w:sz w:val="20"/>
          <w:szCs w:val="20"/>
        </w:rPr>
      </w:pPr>
      <w:r w:rsidRPr="00EB2EEE">
        <w:rPr>
          <w:sz w:val="20"/>
          <w:szCs w:val="20"/>
        </w:rPr>
        <w:t>Individual income tax collections</w:t>
      </w:r>
    </w:p>
    <w:p w:rsidR="00884BA0" w:rsidRPr="00EB2EEE" w:rsidRDefault="00884BA0" w:rsidP="00884BA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sz w:val="20"/>
          <w:szCs w:val="20"/>
        </w:rPr>
        <w:t>Increased 3.8 percent for the year, from $2.06 billion last year to $2.13 billion this year.</w:t>
      </w:r>
    </w:p>
    <w:p w:rsidR="00884BA0" w:rsidRPr="00EB2EEE" w:rsidRDefault="00884BA0" w:rsidP="00884BA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sz w:val="20"/>
          <w:szCs w:val="20"/>
        </w:rPr>
        <w:t>Increased 7.9 percent for the month.</w:t>
      </w:r>
    </w:p>
    <w:p w:rsidR="00884BA0" w:rsidRPr="00EB2EEE" w:rsidRDefault="00884BA0" w:rsidP="00884BA0">
      <w:pPr>
        <w:rPr>
          <w:rFonts w:ascii="Arial" w:hAnsi="Arial" w:cs="Arial"/>
          <w:sz w:val="20"/>
          <w:szCs w:val="20"/>
        </w:rPr>
      </w:pPr>
    </w:p>
    <w:p w:rsidR="00884BA0" w:rsidRPr="00EB2EEE" w:rsidRDefault="00884BA0" w:rsidP="00884BA0">
      <w:pPr>
        <w:pStyle w:val="Heading1"/>
        <w:rPr>
          <w:sz w:val="20"/>
          <w:szCs w:val="20"/>
        </w:rPr>
      </w:pPr>
      <w:r w:rsidRPr="00EB2EEE">
        <w:rPr>
          <w:sz w:val="20"/>
          <w:szCs w:val="20"/>
        </w:rPr>
        <w:t>Sales and use tax collections</w:t>
      </w:r>
    </w:p>
    <w:p w:rsidR="00884BA0" w:rsidRPr="00EB2EEE" w:rsidRDefault="00884BA0" w:rsidP="00884BA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sz w:val="20"/>
          <w:szCs w:val="20"/>
        </w:rPr>
        <w:t>Decreased 0.6 percent for the year from $691.3 million last year to $687.4 million this year.</w:t>
      </w:r>
    </w:p>
    <w:p w:rsidR="00884BA0" w:rsidRPr="00EB2EEE" w:rsidRDefault="00884BA0" w:rsidP="00884BA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sz w:val="20"/>
          <w:szCs w:val="20"/>
        </w:rPr>
        <w:t>Decreased 2.0 percent for the month.</w:t>
      </w:r>
    </w:p>
    <w:p w:rsidR="00884BA0" w:rsidRPr="00EB2EEE" w:rsidRDefault="00884BA0" w:rsidP="00884BA0">
      <w:pPr>
        <w:rPr>
          <w:rFonts w:ascii="Arial" w:hAnsi="Arial" w:cs="Arial"/>
          <w:sz w:val="20"/>
          <w:szCs w:val="20"/>
        </w:rPr>
      </w:pPr>
    </w:p>
    <w:p w:rsidR="00884BA0" w:rsidRPr="00EB2EEE" w:rsidRDefault="00884BA0" w:rsidP="00884BA0">
      <w:pPr>
        <w:pStyle w:val="Heading1"/>
        <w:rPr>
          <w:sz w:val="20"/>
          <w:szCs w:val="20"/>
        </w:rPr>
      </w:pPr>
      <w:r w:rsidRPr="00EB2EEE">
        <w:rPr>
          <w:sz w:val="20"/>
          <w:szCs w:val="20"/>
        </w:rPr>
        <w:t>Corporate income and corporate franchise tax collections</w:t>
      </w:r>
    </w:p>
    <w:p w:rsidR="00884BA0" w:rsidRPr="00EB2EEE" w:rsidRDefault="00884BA0" w:rsidP="00884BA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sz w:val="20"/>
          <w:szCs w:val="20"/>
        </w:rPr>
        <w:t>Increased 16.5 percent for the year, from $110.3 million last year to $128.5 million this year.</w:t>
      </w:r>
    </w:p>
    <w:p w:rsidR="00884BA0" w:rsidRPr="00EB2EEE" w:rsidRDefault="00884BA0" w:rsidP="00884BA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sz w:val="20"/>
          <w:szCs w:val="20"/>
        </w:rPr>
        <w:t>Increased 83.0 percent for the month.</w:t>
      </w:r>
    </w:p>
    <w:p w:rsidR="00884BA0" w:rsidRPr="00EB2EEE" w:rsidRDefault="00884BA0" w:rsidP="00884BA0">
      <w:pPr>
        <w:rPr>
          <w:rFonts w:ascii="Arial" w:hAnsi="Arial" w:cs="Arial"/>
          <w:sz w:val="20"/>
          <w:szCs w:val="20"/>
        </w:rPr>
      </w:pPr>
    </w:p>
    <w:p w:rsidR="00884BA0" w:rsidRPr="00EB2EEE" w:rsidRDefault="00884BA0" w:rsidP="00884BA0">
      <w:pPr>
        <w:pStyle w:val="Heading1"/>
        <w:rPr>
          <w:sz w:val="20"/>
          <w:szCs w:val="20"/>
        </w:rPr>
      </w:pPr>
      <w:r w:rsidRPr="00EB2EEE">
        <w:rPr>
          <w:sz w:val="20"/>
          <w:szCs w:val="20"/>
        </w:rPr>
        <w:t>All other collections</w:t>
      </w:r>
    </w:p>
    <w:p w:rsidR="00884BA0" w:rsidRPr="00EB2EEE" w:rsidRDefault="00884BA0" w:rsidP="00884BA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sz w:val="20"/>
          <w:szCs w:val="20"/>
        </w:rPr>
        <w:t>Increased 1.9 percent for the year, from $125.5 million last year to $127.9 million this year.</w:t>
      </w:r>
    </w:p>
    <w:p w:rsidR="00884BA0" w:rsidRPr="00EB2EEE" w:rsidRDefault="00884BA0" w:rsidP="00884BA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sz w:val="20"/>
          <w:szCs w:val="20"/>
        </w:rPr>
        <w:t>Decreased 49.1 percent for the month.</w:t>
      </w:r>
    </w:p>
    <w:p w:rsidR="00884BA0" w:rsidRPr="00EB2EEE" w:rsidRDefault="00884BA0" w:rsidP="00884BA0">
      <w:pPr>
        <w:rPr>
          <w:rFonts w:ascii="Arial" w:hAnsi="Arial" w:cs="Arial"/>
          <w:sz w:val="20"/>
          <w:szCs w:val="20"/>
        </w:rPr>
      </w:pPr>
    </w:p>
    <w:p w:rsidR="00884BA0" w:rsidRPr="00EB2EEE" w:rsidRDefault="00884BA0" w:rsidP="00884BA0">
      <w:pPr>
        <w:pStyle w:val="Heading1"/>
        <w:rPr>
          <w:sz w:val="20"/>
          <w:szCs w:val="20"/>
        </w:rPr>
      </w:pPr>
      <w:r w:rsidRPr="00EB2EEE">
        <w:rPr>
          <w:sz w:val="20"/>
          <w:szCs w:val="20"/>
        </w:rPr>
        <w:t>Refunds</w:t>
      </w:r>
    </w:p>
    <w:p w:rsidR="00884BA0" w:rsidRPr="00EB2EEE" w:rsidRDefault="00884BA0" w:rsidP="00884BA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sz w:val="20"/>
          <w:szCs w:val="20"/>
        </w:rPr>
        <w:t xml:space="preserve">Decreased 11.2 percent for the year, from $222.9 million last year to $197.9 million this year. </w:t>
      </w:r>
    </w:p>
    <w:p w:rsidR="00884BA0" w:rsidRPr="00EB2EEE" w:rsidRDefault="00884BA0" w:rsidP="00884BA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sz w:val="20"/>
          <w:szCs w:val="20"/>
        </w:rPr>
        <w:t>Decreased 24.3 percent for the month.</w:t>
      </w:r>
    </w:p>
    <w:p w:rsidR="00884BA0" w:rsidRPr="00EB2EEE" w:rsidRDefault="00884BA0" w:rsidP="00884BA0">
      <w:pPr>
        <w:rPr>
          <w:rFonts w:ascii="Arial" w:hAnsi="Arial" w:cs="Arial"/>
          <w:sz w:val="20"/>
          <w:szCs w:val="20"/>
        </w:rPr>
      </w:pPr>
    </w:p>
    <w:p w:rsidR="00884BA0" w:rsidRPr="00EB2EEE" w:rsidRDefault="00884BA0" w:rsidP="00884BA0">
      <w:pPr>
        <w:ind w:firstLine="360"/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sz w:val="20"/>
          <w:szCs w:val="20"/>
        </w:rPr>
        <w:t>Note: The FY 2018 total refund line includes Debt Offset Escrow amounts, which had not previously been included in the FY 2017 refund amount.</w:t>
      </w:r>
    </w:p>
    <w:p w:rsidR="00884BA0" w:rsidRPr="00EB2EEE" w:rsidRDefault="00884BA0" w:rsidP="00884BA0">
      <w:pPr>
        <w:rPr>
          <w:rFonts w:ascii="Arial" w:hAnsi="Arial" w:cs="Arial"/>
          <w:sz w:val="20"/>
          <w:szCs w:val="20"/>
        </w:rPr>
      </w:pPr>
    </w:p>
    <w:p w:rsidR="00884BA0" w:rsidRPr="00EB2EEE" w:rsidRDefault="00884BA0" w:rsidP="00884BA0">
      <w:pPr>
        <w:ind w:firstLine="360"/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sz w:val="20"/>
          <w:szCs w:val="20"/>
        </w:rPr>
        <w:t>Director Haug also noted the General Revenue Fund borrowed $100 million from the Budget Reserve Fund for cash flow purposes. The funds will be repaid before the Constitutional deadline of May 15, 2018.</w:t>
      </w:r>
    </w:p>
    <w:p w:rsidR="00AE30CD" w:rsidRPr="00EB2EEE" w:rsidRDefault="00AE30CD" w:rsidP="00884BA0">
      <w:pPr>
        <w:ind w:firstLine="360"/>
        <w:rPr>
          <w:rFonts w:ascii="Arial" w:hAnsi="Arial" w:cs="Arial"/>
          <w:sz w:val="20"/>
          <w:szCs w:val="20"/>
        </w:rPr>
      </w:pPr>
    </w:p>
    <w:p w:rsidR="00AE30CD" w:rsidRPr="00EB2EEE" w:rsidRDefault="00AE30CD" w:rsidP="00AE30CD">
      <w:pPr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sz w:val="20"/>
          <w:szCs w:val="20"/>
        </w:rPr>
        <w:t xml:space="preserve">The Department of Revenue is transitioning to a new integrated tax collection system.  As a result, the October 2017 collections are not directly comparable to the October 2016 collections. </w:t>
      </w:r>
    </w:p>
    <w:p w:rsidR="00AE30CD" w:rsidRPr="00EB2EEE" w:rsidRDefault="00AE30CD" w:rsidP="00884BA0">
      <w:pPr>
        <w:ind w:firstLine="360"/>
        <w:rPr>
          <w:rFonts w:ascii="Arial" w:hAnsi="Arial" w:cs="Arial"/>
          <w:sz w:val="20"/>
          <w:szCs w:val="20"/>
        </w:rPr>
      </w:pPr>
    </w:p>
    <w:p w:rsidR="00884BA0" w:rsidRPr="00EB2EEE" w:rsidRDefault="00884BA0" w:rsidP="00884BA0">
      <w:pPr>
        <w:ind w:firstLine="360"/>
        <w:rPr>
          <w:rFonts w:ascii="Arial" w:hAnsi="Arial" w:cs="Arial"/>
          <w:sz w:val="20"/>
          <w:szCs w:val="20"/>
        </w:rPr>
      </w:pPr>
    </w:p>
    <w:p w:rsidR="00884BA0" w:rsidRPr="00EB2EEE" w:rsidRDefault="00884BA0" w:rsidP="00884BA0">
      <w:pPr>
        <w:ind w:firstLine="360"/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i/>
          <w:iCs/>
          <w:sz w:val="20"/>
          <w:szCs w:val="20"/>
        </w:rPr>
        <w:t>The figures included in the monthly general revenue report represent a snapshot in time and can vary widely based on a multitude of facto</w:t>
      </w:r>
      <w:bookmarkStart w:id="0" w:name="_GoBack"/>
      <w:bookmarkEnd w:id="0"/>
      <w:r w:rsidRPr="00EB2EEE">
        <w:rPr>
          <w:rFonts w:ascii="Arial" w:hAnsi="Arial" w:cs="Arial"/>
          <w:i/>
          <w:iCs/>
          <w:sz w:val="20"/>
          <w:szCs w:val="20"/>
        </w:rPr>
        <w:t>rs.</w:t>
      </w:r>
    </w:p>
    <w:p w:rsidR="006B48EF" w:rsidRPr="00EB2EEE" w:rsidRDefault="006B48EF" w:rsidP="006B48EF">
      <w:pPr>
        <w:tabs>
          <w:tab w:val="left" w:pos="9540"/>
        </w:tabs>
        <w:rPr>
          <w:rFonts w:ascii="Arial" w:hAnsi="Arial" w:cs="Arial"/>
          <w:sz w:val="20"/>
          <w:szCs w:val="20"/>
        </w:rPr>
      </w:pPr>
    </w:p>
    <w:p w:rsidR="008F70AA" w:rsidRPr="00EB2EEE" w:rsidRDefault="00AC70C9">
      <w:pPr>
        <w:ind w:left="720"/>
        <w:jc w:val="center"/>
        <w:rPr>
          <w:rFonts w:ascii="Arial" w:hAnsi="Arial" w:cs="Arial"/>
          <w:sz w:val="20"/>
          <w:szCs w:val="20"/>
        </w:rPr>
      </w:pPr>
      <w:r w:rsidRPr="00EB2EEE">
        <w:rPr>
          <w:rFonts w:ascii="Arial" w:hAnsi="Arial" w:cs="Arial"/>
          <w:sz w:val="20"/>
          <w:szCs w:val="20"/>
        </w:rPr>
        <w:t>###</w:t>
      </w:r>
    </w:p>
    <w:sectPr w:rsidR="008F70AA" w:rsidRPr="00EB2EEE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84BA0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30CD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2EEE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2017-11-01T20:31:00Z</dcterms:created>
  <dcterms:modified xsi:type="dcterms:W3CDTF">2017-11-01T20:31:00Z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