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1022EF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February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 w:rsidR="005A7F7F"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5A7F7F" w:rsidRPr="007004F3" w:rsidRDefault="005A7F7F" w:rsidP="005A7F7F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 xml:space="preserve">January </w:t>
      </w:r>
      <w:r w:rsidRPr="007004F3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5A7F7F" w:rsidRPr="007004F3" w:rsidRDefault="005A7F7F" w:rsidP="005A7F7F">
      <w:pPr>
        <w:rPr>
          <w:rFonts w:ascii="Arial" w:hAnsi="Arial" w:cs="Arial"/>
          <w:sz w:val="22"/>
          <w:szCs w:val="22"/>
        </w:rPr>
      </w:pPr>
    </w:p>
    <w:p w:rsidR="005A7F7F" w:rsidRDefault="005A7F7F" w:rsidP="005A7F7F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2018 fiscal year-to-date net general revenue collections increased 7.5 percent compared to 2017, from $5.11 billion last year to $5.49 billion this year.</w:t>
      </w:r>
    </w:p>
    <w:p w:rsidR="005A7F7F" w:rsidRDefault="005A7F7F" w:rsidP="005A7F7F">
      <w:pPr>
        <w:ind w:firstLine="720"/>
        <w:rPr>
          <w:rFonts w:ascii="Arial" w:hAnsi="Arial" w:cs="Arial"/>
          <w:sz w:val="22"/>
          <w:szCs w:val="22"/>
        </w:rPr>
      </w:pPr>
    </w:p>
    <w:p w:rsidR="005A7F7F" w:rsidRDefault="005A7F7F" w:rsidP="005A7F7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January</w:t>
      </w:r>
      <w:r w:rsidRPr="007004F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24.4 percent</w:t>
      </w:r>
      <w:r w:rsidRPr="007004F3">
        <w:rPr>
          <w:rFonts w:ascii="Arial" w:hAnsi="Arial" w:cs="Arial"/>
          <w:sz w:val="22"/>
          <w:szCs w:val="22"/>
        </w:rPr>
        <w:t xml:space="preserve"> compared to </w:t>
      </w:r>
      <w:r>
        <w:rPr>
          <w:rFonts w:ascii="Arial" w:hAnsi="Arial" w:cs="Arial"/>
          <w:sz w:val="22"/>
          <w:szCs w:val="22"/>
        </w:rPr>
        <w:t xml:space="preserve">those for January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7,</w:t>
      </w:r>
      <w:r w:rsidRPr="007004F3"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sz w:val="22"/>
          <w:szCs w:val="22"/>
        </w:rPr>
        <w:t xml:space="preserve">$848.1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1.06 billion </w:t>
      </w:r>
      <w:r w:rsidRPr="007004F3">
        <w:rPr>
          <w:rFonts w:ascii="Arial" w:hAnsi="Arial" w:cs="Arial"/>
          <w:sz w:val="22"/>
          <w:szCs w:val="22"/>
        </w:rPr>
        <w:t xml:space="preserve">this year.  </w:t>
      </w:r>
    </w:p>
    <w:p w:rsidR="005A7F7F" w:rsidRDefault="005A7F7F" w:rsidP="005A7F7F">
      <w:pPr>
        <w:ind w:firstLine="720"/>
        <w:rPr>
          <w:rFonts w:ascii="Arial" w:hAnsi="Arial" w:cs="Arial"/>
          <w:sz w:val="22"/>
          <w:szCs w:val="22"/>
        </w:rPr>
      </w:pPr>
    </w:p>
    <w:p w:rsidR="005A7F7F" w:rsidRPr="007004F3" w:rsidRDefault="005A7F7F" w:rsidP="005A7F7F">
      <w:pPr>
        <w:pStyle w:val="Heading2"/>
        <w:rPr>
          <w:sz w:val="22"/>
          <w:szCs w:val="22"/>
        </w:rPr>
      </w:pPr>
    </w:p>
    <w:p w:rsidR="005A7F7F" w:rsidRPr="007004F3" w:rsidRDefault="005A7F7F" w:rsidP="005A7F7F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5A7F7F" w:rsidRDefault="005A7F7F" w:rsidP="005A7F7F">
      <w:pPr>
        <w:pStyle w:val="Heading1"/>
        <w:rPr>
          <w:sz w:val="22"/>
          <w:szCs w:val="22"/>
        </w:rPr>
      </w:pPr>
    </w:p>
    <w:p w:rsidR="005A7F7F" w:rsidRPr="007004F3" w:rsidRDefault="005A7F7F" w:rsidP="005A7F7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5A7F7F" w:rsidRPr="007004F3" w:rsidRDefault="005A7F7F" w:rsidP="005A7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7.6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3.85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4.15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5A7F7F" w:rsidRPr="007004F3" w:rsidRDefault="005A7F7F" w:rsidP="005A7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31.7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5A7F7F" w:rsidRDefault="005A7F7F" w:rsidP="005A7F7F">
      <w:pPr>
        <w:pStyle w:val="Heading1"/>
        <w:rPr>
          <w:sz w:val="22"/>
          <w:szCs w:val="22"/>
        </w:rPr>
      </w:pPr>
    </w:p>
    <w:p w:rsidR="005A7F7F" w:rsidRPr="007004F3" w:rsidRDefault="005A7F7F" w:rsidP="005A7F7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5A7F7F" w:rsidRPr="007004F3" w:rsidRDefault="005A7F7F" w:rsidP="005A7F7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2.6</w:t>
      </w:r>
      <w:r w:rsidRPr="007004F3">
        <w:rPr>
          <w:rFonts w:ascii="Arial" w:hAnsi="Arial" w:cs="Arial"/>
          <w:sz w:val="22"/>
          <w:szCs w:val="22"/>
        </w:rPr>
        <w:t xml:space="preserve"> percent for the year from $</w:t>
      </w:r>
      <w:r>
        <w:rPr>
          <w:rFonts w:ascii="Arial" w:hAnsi="Arial" w:cs="Arial"/>
          <w:sz w:val="22"/>
          <w:szCs w:val="22"/>
        </w:rPr>
        <w:t>1.24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1.28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5A7F7F" w:rsidRPr="007004F3" w:rsidRDefault="005A7F7F" w:rsidP="005A7F7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12.7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5A7F7F" w:rsidRPr="007004F3" w:rsidRDefault="005A7F7F" w:rsidP="005A7F7F">
      <w:pPr>
        <w:rPr>
          <w:rFonts w:ascii="Arial" w:hAnsi="Arial" w:cs="Arial"/>
          <w:sz w:val="22"/>
          <w:szCs w:val="22"/>
        </w:rPr>
      </w:pPr>
    </w:p>
    <w:p w:rsidR="005A7F7F" w:rsidRPr="007004F3" w:rsidRDefault="005A7F7F" w:rsidP="005A7F7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5A7F7F" w:rsidRPr="002A1F30" w:rsidRDefault="005A7F7F" w:rsidP="005A7F7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24.6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193.1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240.6</w:t>
      </w:r>
      <w:r w:rsidRPr="002A1F30">
        <w:rPr>
          <w:rFonts w:ascii="Arial" w:hAnsi="Arial" w:cs="Arial"/>
          <w:sz w:val="22"/>
          <w:szCs w:val="22"/>
        </w:rPr>
        <w:t xml:space="preserve"> million this year.</w:t>
      </w:r>
    </w:p>
    <w:p w:rsidR="005A7F7F" w:rsidRPr="007004F3" w:rsidRDefault="005A7F7F" w:rsidP="005A7F7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1.1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5A7F7F" w:rsidRPr="007004F3" w:rsidRDefault="005A7F7F" w:rsidP="005A7F7F">
      <w:pPr>
        <w:rPr>
          <w:rFonts w:ascii="Arial" w:hAnsi="Arial" w:cs="Arial"/>
          <w:sz w:val="22"/>
          <w:szCs w:val="22"/>
        </w:rPr>
      </w:pPr>
    </w:p>
    <w:p w:rsidR="005A7F7F" w:rsidRPr="007004F3" w:rsidRDefault="005A7F7F" w:rsidP="005A7F7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5A7F7F" w:rsidRPr="007004F3" w:rsidRDefault="005A7F7F" w:rsidP="005A7F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5.3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243.2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256.0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5A7F7F" w:rsidRPr="007004F3" w:rsidRDefault="005A7F7F" w:rsidP="005A7F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11.9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5A7F7F" w:rsidRPr="007004F3" w:rsidRDefault="005A7F7F" w:rsidP="005A7F7F">
      <w:pPr>
        <w:rPr>
          <w:rFonts w:ascii="Arial" w:hAnsi="Arial" w:cs="Arial"/>
          <w:sz w:val="22"/>
          <w:szCs w:val="22"/>
        </w:rPr>
      </w:pPr>
    </w:p>
    <w:p w:rsidR="005A7F7F" w:rsidRPr="007004F3" w:rsidRDefault="005A7F7F" w:rsidP="005A7F7F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5A7F7F" w:rsidRPr="007004F3" w:rsidRDefault="005A7F7F" w:rsidP="005A7F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0.7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425.4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428.5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5A7F7F" w:rsidRPr="007004F3" w:rsidRDefault="005A7F7F" w:rsidP="005A7F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49.9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5A7F7F" w:rsidRDefault="005A7F7F" w:rsidP="005A7F7F">
      <w:pPr>
        <w:rPr>
          <w:rFonts w:ascii="Arial" w:hAnsi="Arial" w:cs="Arial"/>
          <w:sz w:val="22"/>
          <w:szCs w:val="22"/>
        </w:rPr>
      </w:pPr>
    </w:p>
    <w:p w:rsidR="005A7F7F" w:rsidRDefault="005A7F7F" w:rsidP="005A7F7F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The FY 2018 total refund line includes Debt Offset Escrow amounts, which had not previously been included in the FY 2017 refund amount.</w:t>
      </w:r>
    </w:p>
    <w:p w:rsidR="005A7F7F" w:rsidRDefault="005A7F7F" w:rsidP="005A7F7F">
      <w:pPr>
        <w:rPr>
          <w:rFonts w:ascii="Arial" w:hAnsi="Arial" w:cs="Arial"/>
          <w:sz w:val="22"/>
          <w:szCs w:val="22"/>
        </w:rPr>
      </w:pPr>
    </w:p>
    <w:p w:rsidR="005A7F7F" w:rsidRPr="007004F3" w:rsidRDefault="005A7F7F" w:rsidP="005A7F7F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A7F7F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7D7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2018-02-02T17:39:00Z</dcterms:created>
  <dcterms:modified xsi:type="dcterms:W3CDTF">2018-02-02T17:39:00Z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