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A9642D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April</w:t>
      </w:r>
      <w:r w:rsidR="00694FE6">
        <w:rPr>
          <w:b/>
          <w:bCs/>
        </w:rPr>
        <w:t xml:space="preserve"> </w:t>
      </w:r>
      <w:r>
        <w:rPr>
          <w:b/>
          <w:bCs/>
        </w:rPr>
        <w:t>3</w:t>
      </w:r>
      <w:r w:rsidR="001B53D5">
        <w:rPr>
          <w:b/>
          <w:bCs/>
        </w:rPr>
        <w:t>, 201</w:t>
      </w:r>
      <w:r w:rsidR="005E2DDD">
        <w:rPr>
          <w:b/>
          <w:bCs/>
        </w:rPr>
        <w:t>8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A9642D" w:rsidRPr="007004F3" w:rsidRDefault="00A9642D" w:rsidP="00A9642D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 xml:space="preserve">March </w:t>
      </w:r>
      <w:r w:rsidRPr="007004F3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8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A9642D" w:rsidRPr="007004F3" w:rsidRDefault="00A9642D" w:rsidP="00A9642D">
      <w:pPr>
        <w:rPr>
          <w:rFonts w:ascii="Arial" w:hAnsi="Arial" w:cs="Arial"/>
          <w:sz w:val="22"/>
          <w:szCs w:val="22"/>
        </w:rPr>
      </w:pPr>
    </w:p>
    <w:p w:rsidR="00A9642D" w:rsidRDefault="00A9642D" w:rsidP="00A9642D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2018 fiscal year-to-date net general revenue collections increased 3.8 percent compared to 2017, from $6.47 billion last year to $6.72 billion this year.</w:t>
      </w:r>
    </w:p>
    <w:p w:rsidR="00A9642D" w:rsidRDefault="00A9642D" w:rsidP="00A9642D">
      <w:pPr>
        <w:ind w:firstLine="720"/>
        <w:rPr>
          <w:rFonts w:ascii="Arial" w:hAnsi="Arial" w:cs="Arial"/>
          <w:sz w:val="22"/>
          <w:szCs w:val="22"/>
        </w:rPr>
      </w:pPr>
    </w:p>
    <w:p w:rsidR="00A9642D" w:rsidRDefault="00A9642D" w:rsidP="00A9642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March</w:t>
      </w:r>
      <w:r w:rsidRPr="007004F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0.9 percent</w:t>
      </w:r>
      <w:r w:rsidRPr="007004F3">
        <w:rPr>
          <w:rFonts w:ascii="Arial" w:hAnsi="Arial" w:cs="Arial"/>
          <w:sz w:val="22"/>
          <w:szCs w:val="22"/>
        </w:rPr>
        <w:t xml:space="preserve"> compared to </w:t>
      </w:r>
      <w:r>
        <w:rPr>
          <w:rFonts w:ascii="Arial" w:hAnsi="Arial" w:cs="Arial"/>
          <w:sz w:val="22"/>
          <w:szCs w:val="22"/>
        </w:rPr>
        <w:t xml:space="preserve">those for March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7,</w:t>
      </w:r>
      <w:r w:rsidRPr="007004F3">
        <w:rPr>
          <w:rFonts w:ascii="Arial" w:hAnsi="Arial" w:cs="Arial"/>
          <w:sz w:val="22"/>
          <w:szCs w:val="22"/>
        </w:rPr>
        <w:t xml:space="preserve"> from </w:t>
      </w:r>
      <w:r>
        <w:rPr>
          <w:rFonts w:ascii="Arial" w:hAnsi="Arial" w:cs="Arial"/>
          <w:sz w:val="22"/>
          <w:szCs w:val="22"/>
        </w:rPr>
        <w:t xml:space="preserve">$755.6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749.0 million </w:t>
      </w:r>
      <w:r w:rsidRPr="007004F3">
        <w:rPr>
          <w:rFonts w:ascii="Arial" w:hAnsi="Arial" w:cs="Arial"/>
          <w:sz w:val="22"/>
          <w:szCs w:val="22"/>
        </w:rPr>
        <w:t xml:space="preserve">this year.  </w:t>
      </w:r>
    </w:p>
    <w:p w:rsidR="00A9642D" w:rsidRDefault="00A9642D" w:rsidP="00A9642D">
      <w:pPr>
        <w:ind w:firstLine="720"/>
        <w:rPr>
          <w:rFonts w:ascii="Arial" w:hAnsi="Arial" w:cs="Arial"/>
          <w:sz w:val="22"/>
          <w:szCs w:val="22"/>
        </w:rPr>
      </w:pPr>
    </w:p>
    <w:p w:rsidR="00A9642D" w:rsidRPr="007004F3" w:rsidRDefault="00A9642D" w:rsidP="00A9642D">
      <w:pPr>
        <w:pStyle w:val="Heading2"/>
        <w:rPr>
          <w:sz w:val="22"/>
          <w:szCs w:val="22"/>
        </w:rPr>
      </w:pPr>
    </w:p>
    <w:p w:rsidR="00A9642D" w:rsidRPr="007004F3" w:rsidRDefault="00A9642D" w:rsidP="00A9642D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A9642D" w:rsidRPr="007004F3" w:rsidRDefault="00A9642D" w:rsidP="00A9642D">
      <w:pPr>
        <w:rPr>
          <w:rFonts w:ascii="Arial" w:hAnsi="Arial" w:cs="Arial"/>
          <w:sz w:val="22"/>
          <w:szCs w:val="22"/>
        </w:rPr>
      </w:pPr>
    </w:p>
    <w:p w:rsidR="00A9642D" w:rsidRPr="007004F3" w:rsidRDefault="00A9642D" w:rsidP="00A9642D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A9642D" w:rsidRPr="007004F3" w:rsidRDefault="00A9642D" w:rsidP="00A9642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6.6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5.08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5.42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A9642D" w:rsidRPr="007004F3" w:rsidRDefault="00A9642D" w:rsidP="00A9642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10.2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A9642D" w:rsidRDefault="00A9642D" w:rsidP="00A9642D">
      <w:pPr>
        <w:pStyle w:val="Heading1"/>
        <w:rPr>
          <w:sz w:val="22"/>
          <w:szCs w:val="22"/>
        </w:rPr>
      </w:pPr>
    </w:p>
    <w:p w:rsidR="00A9642D" w:rsidRPr="007004F3" w:rsidRDefault="00A9642D" w:rsidP="00A9642D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A9642D" w:rsidRPr="007004F3" w:rsidRDefault="00A9642D" w:rsidP="00A9642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2.0</w:t>
      </w:r>
      <w:r w:rsidRPr="007004F3">
        <w:rPr>
          <w:rFonts w:ascii="Arial" w:hAnsi="Arial" w:cs="Arial"/>
          <w:sz w:val="22"/>
          <w:szCs w:val="22"/>
        </w:rPr>
        <w:t xml:space="preserve"> percent for the year from $</w:t>
      </w:r>
      <w:r>
        <w:rPr>
          <w:rFonts w:ascii="Arial" w:hAnsi="Arial" w:cs="Arial"/>
          <w:sz w:val="22"/>
          <w:szCs w:val="22"/>
        </w:rPr>
        <w:t>1.61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1.64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A9642D" w:rsidRPr="007004F3" w:rsidRDefault="00A9642D" w:rsidP="00A9642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0.3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A9642D" w:rsidRPr="007004F3" w:rsidRDefault="00A9642D" w:rsidP="00A9642D">
      <w:pPr>
        <w:rPr>
          <w:rFonts w:ascii="Arial" w:hAnsi="Arial" w:cs="Arial"/>
          <w:sz w:val="22"/>
          <w:szCs w:val="22"/>
        </w:rPr>
      </w:pPr>
    </w:p>
    <w:p w:rsidR="00A9642D" w:rsidRPr="007004F3" w:rsidRDefault="00A9642D" w:rsidP="00A9642D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A9642D" w:rsidRPr="002A1F30" w:rsidRDefault="00A9642D" w:rsidP="00A9642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14.9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235.7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270.8</w:t>
      </w:r>
      <w:r w:rsidRPr="002A1F30">
        <w:rPr>
          <w:rFonts w:ascii="Arial" w:hAnsi="Arial" w:cs="Arial"/>
          <w:sz w:val="22"/>
          <w:szCs w:val="22"/>
        </w:rPr>
        <w:t xml:space="preserve"> million this year.</w:t>
      </w:r>
    </w:p>
    <w:p w:rsidR="00A9642D" w:rsidRPr="007004F3" w:rsidRDefault="00A9642D" w:rsidP="00A9642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23.6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A9642D" w:rsidRPr="007004F3" w:rsidRDefault="00A9642D" w:rsidP="00A9642D">
      <w:pPr>
        <w:rPr>
          <w:rFonts w:ascii="Arial" w:hAnsi="Arial" w:cs="Arial"/>
          <w:sz w:val="22"/>
          <w:szCs w:val="22"/>
        </w:rPr>
      </w:pPr>
    </w:p>
    <w:p w:rsidR="00A9642D" w:rsidRPr="007004F3" w:rsidRDefault="00A9642D" w:rsidP="00A9642D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A9642D" w:rsidRPr="007004F3" w:rsidRDefault="00A9642D" w:rsidP="00A9642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1.7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359.1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365.1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A9642D" w:rsidRPr="007004F3" w:rsidRDefault="00A9642D" w:rsidP="00A9642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A9642D" w:rsidRPr="007004F3" w:rsidRDefault="00A9642D" w:rsidP="00A9642D">
      <w:pPr>
        <w:rPr>
          <w:rFonts w:ascii="Arial" w:hAnsi="Arial" w:cs="Arial"/>
          <w:sz w:val="22"/>
          <w:szCs w:val="22"/>
        </w:rPr>
      </w:pPr>
    </w:p>
    <w:p w:rsidR="00A9642D" w:rsidRPr="007004F3" w:rsidRDefault="00A9642D" w:rsidP="00A9642D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A9642D" w:rsidRPr="007004F3" w:rsidRDefault="00A9642D" w:rsidP="00A9642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20.1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813.1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976.8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A9642D" w:rsidRPr="007004F3" w:rsidRDefault="00A9642D" w:rsidP="00A9642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39.9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A9642D" w:rsidRDefault="00A9642D" w:rsidP="00A9642D">
      <w:pPr>
        <w:rPr>
          <w:rFonts w:ascii="Arial" w:hAnsi="Arial" w:cs="Arial"/>
          <w:sz w:val="22"/>
          <w:szCs w:val="22"/>
        </w:rPr>
      </w:pPr>
    </w:p>
    <w:p w:rsidR="00A9642D" w:rsidRDefault="00A9642D" w:rsidP="00A9642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The FY 2018 total refund line includes Debt Offset Escrow amounts, which had not previously been included in the FY 2017 refund amount.</w:t>
      </w:r>
    </w:p>
    <w:p w:rsidR="00A9642D" w:rsidRDefault="00A9642D" w:rsidP="00A9642D">
      <w:pPr>
        <w:rPr>
          <w:rFonts w:ascii="Arial" w:hAnsi="Arial" w:cs="Arial"/>
          <w:sz w:val="22"/>
          <w:szCs w:val="22"/>
        </w:rPr>
      </w:pPr>
    </w:p>
    <w:p w:rsidR="00A9642D" w:rsidRPr="00E67093" w:rsidRDefault="00A9642D" w:rsidP="00A96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2DDD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6AE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642D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03C3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2018-04-03T18:21:00Z</dcterms:created>
  <dcterms:modified xsi:type="dcterms:W3CDTF">2018-04-03T18:22:00Z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