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B12CF7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Sept</w:t>
      </w:r>
      <w:r w:rsidR="006F5CB7">
        <w:rPr>
          <w:b/>
          <w:bCs/>
        </w:rPr>
        <w:t>ember</w:t>
      </w:r>
      <w:r w:rsidR="00694FE6">
        <w:rPr>
          <w:b/>
          <w:bCs/>
        </w:rPr>
        <w:t xml:space="preserve"> </w:t>
      </w:r>
      <w:r w:rsidR="00DF66E8">
        <w:rPr>
          <w:b/>
          <w:bCs/>
        </w:rPr>
        <w:t>3</w:t>
      </w:r>
      <w:r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August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F73601" w:rsidRPr="007004F3" w:rsidRDefault="00F73601" w:rsidP="00F73601">
      <w:pPr>
        <w:rPr>
          <w:rFonts w:ascii="Arial" w:hAnsi="Arial" w:cs="Arial"/>
          <w:sz w:val="22"/>
          <w:szCs w:val="22"/>
        </w:rPr>
      </w:pPr>
    </w:p>
    <w:p w:rsidR="00F73601" w:rsidRDefault="00F73601" w:rsidP="00F7360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State Budget Director Dan Haug announced today that</w:t>
      </w:r>
      <w:r>
        <w:rPr>
          <w:rFonts w:ascii="Arial" w:hAnsi="Arial" w:cs="Arial"/>
          <w:sz w:val="22"/>
          <w:szCs w:val="22"/>
        </w:rPr>
        <w:t xml:space="preserve"> net general revenue collections for August 2020 increased 23.1 percent compared to those for August 2019, from $805.3 million last year to $991.6 million this year.</w:t>
      </w:r>
    </w:p>
    <w:p w:rsidR="00F73601" w:rsidRDefault="00F73601" w:rsidP="00F73601">
      <w:pPr>
        <w:ind w:firstLine="720"/>
        <w:rPr>
          <w:rFonts w:ascii="Arial" w:hAnsi="Arial" w:cs="Arial"/>
          <w:sz w:val="22"/>
          <w:szCs w:val="22"/>
        </w:rPr>
      </w:pPr>
    </w:p>
    <w:p w:rsidR="00F73601" w:rsidRDefault="00F73601" w:rsidP="00F736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54.1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August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1.39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2.15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F73601" w:rsidRDefault="00F73601" w:rsidP="00F73601">
      <w:pPr>
        <w:ind w:firstLine="720"/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ind w:firstLine="720"/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pStyle w:val="Heading2"/>
        <w:rPr>
          <w:sz w:val="22"/>
          <w:szCs w:val="22"/>
        </w:rPr>
      </w:pPr>
    </w:p>
    <w:p w:rsidR="00F73601" w:rsidRPr="007004F3" w:rsidRDefault="00F73601" w:rsidP="00F7360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F73601" w:rsidRPr="007004F3" w:rsidRDefault="00F73601" w:rsidP="00F73601">
      <w:pPr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F73601" w:rsidRPr="007004F3" w:rsidRDefault="00F73601" w:rsidP="00F736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76.8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969.6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1.71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F73601" w:rsidRDefault="00F73601" w:rsidP="00F736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43.7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73601" w:rsidRPr="00123901" w:rsidRDefault="00F73601" w:rsidP="00F73601">
      <w:pPr>
        <w:ind w:left="360"/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F73601" w:rsidRPr="007004F3" w:rsidRDefault="00F73601" w:rsidP="00F736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0.2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412.9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412.3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F73601" w:rsidRPr="007004F3" w:rsidRDefault="00F73601" w:rsidP="00F736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73601" w:rsidRPr="007004F3" w:rsidRDefault="00F73601" w:rsidP="00F73601">
      <w:pPr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F73601" w:rsidRPr="007004F3" w:rsidRDefault="00F73601" w:rsidP="00F736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274.3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40.8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152.8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F73601" w:rsidRPr="007004F3" w:rsidRDefault="00F73601" w:rsidP="00F736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34.6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73601" w:rsidRPr="007004F3" w:rsidRDefault="00F73601" w:rsidP="00F73601">
      <w:pPr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F73601" w:rsidRPr="007004F3" w:rsidRDefault="00F73601" w:rsidP="00F736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41.8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61.6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35.8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F73601" w:rsidRPr="007004F3" w:rsidRDefault="00F73601" w:rsidP="00F736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56.0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73601" w:rsidRPr="007004F3" w:rsidRDefault="00F73601" w:rsidP="00F73601">
      <w:pPr>
        <w:rPr>
          <w:rFonts w:ascii="Arial" w:hAnsi="Arial" w:cs="Arial"/>
          <w:sz w:val="22"/>
          <w:szCs w:val="22"/>
        </w:rPr>
      </w:pPr>
    </w:p>
    <w:p w:rsidR="00F73601" w:rsidRPr="007004F3" w:rsidRDefault="00F73601" w:rsidP="00F736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F73601" w:rsidRPr="007004F3" w:rsidRDefault="00F73601" w:rsidP="00F736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83.8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91.2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167.7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F73601" w:rsidRPr="007004F3" w:rsidRDefault="00F73601" w:rsidP="00F736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65.2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73601" w:rsidRDefault="00F73601" w:rsidP="00F73601">
      <w:pPr>
        <w:rPr>
          <w:rFonts w:ascii="Arial" w:hAnsi="Arial" w:cs="Arial"/>
          <w:sz w:val="22"/>
          <w:szCs w:val="22"/>
        </w:rPr>
      </w:pPr>
    </w:p>
    <w:p w:rsidR="00F73601" w:rsidRPr="00E67093" w:rsidRDefault="00F73601" w:rsidP="00F736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2E8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4EAF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3601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2020-09-03T19:36:00Z</dcterms:created>
  <dcterms:modified xsi:type="dcterms:W3CDTF">2020-09-03T19:36:00Z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