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2D70E6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October</w:t>
      </w:r>
      <w:r w:rsidR="00694FE6">
        <w:rPr>
          <w:b/>
          <w:bCs/>
        </w:rPr>
        <w:t xml:space="preserve"> </w:t>
      </w:r>
      <w:r>
        <w:rPr>
          <w:b/>
          <w:bCs/>
        </w:rPr>
        <w:t>5</w:t>
      </w:r>
      <w:r w:rsidR="00B12CF7">
        <w:rPr>
          <w:b/>
          <w:bCs/>
        </w:rPr>
        <w:t>, 2020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2D70E6" w:rsidRPr="007004F3" w:rsidRDefault="002D70E6" w:rsidP="002D70E6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September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20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2D70E6" w:rsidRPr="007004F3" w:rsidRDefault="002D70E6" w:rsidP="002D70E6">
      <w:pPr>
        <w:rPr>
          <w:rFonts w:ascii="Arial" w:hAnsi="Arial" w:cs="Arial"/>
          <w:sz w:val="22"/>
          <w:szCs w:val="22"/>
        </w:rPr>
      </w:pPr>
    </w:p>
    <w:p w:rsidR="002D70E6" w:rsidRDefault="002D70E6" w:rsidP="002D70E6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</w:t>
      </w:r>
      <w:r w:rsidRPr="007004F3">
        <w:rPr>
          <w:rFonts w:ascii="Arial" w:hAnsi="Arial" w:cs="Arial"/>
          <w:sz w:val="22"/>
          <w:szCs w:val="22"/>
        </w:rPr>
        <w:t>et general revenue collections</w:t>
      </w:r>
      <w:r>
        <w:rPr>
          <w:rFonts w:ascii="Arial" w:hAnsi="Arial" w:cs="Arial"/>
          <w:sz w:val="22"/>
          <w:szCs w:val="22"/>
        </w:rPr>
        <w:t xml:space="preserve"> for September 2020 increased 3.0 percent compared to those for September 2019, from $917.3 million last year to $944.5 million this year.</w:t>
      </w:r>
    </w:p>
    <w:p w:rsidR="002D70E6" w:rsidRDefault="002D70E6" w:rsidP="002D70E6">
      <w:pPr>
        <w:ind w:firstLine="720"/>
        <w:rPr>
          <w:rFonts w:ascii="Arial" w:hAnsi="Arial" w:cs="Arial"/>
          <w:sz w:val="22"/>
          <w:szCs w:val="22"/>
        </w:rPr>
      </w:pPr>
    </w:p>
    <w:p w:rsidR="002D70E6" w:rsidRDefault="002D70E6" w:rsidP="002D70E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33.8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September 2019,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2.31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3.09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2D70E6" w:rsidRDefault="002D70E6" w:rsidP="002D70E6">
      <w:pPr>
        <w:ind w:firstLine="720"/>
        <w:rPr>
          <w:rFonts w:ascii="Arial" w:hAnsi="Arial" w:cs="Arial"/>
          <w:sz w:val="22"/>
          <w:szCs w:val="22"/>
        </w:rPr>
      </w:pPr>
    </w:p>
    <w:p w:rsidR="002D70E6" w:rsidRDefault="002D70E6" w:rsidP="002D70E6">
      <w:pPr>
        <w:pStyle w:val="Heading2"/>
        <w:rPr>
          <w:sz w:val="22"/>
          <w:szCs w:val="22"/>
        </w:rPr>
      </w:pPr>
    </w:p>
    <w:p w:rsidR="002D70E6" w:rsidRPr="00AE6D57" w:rsidRDefault="002D70E6" w:rsidP="002D70E6"/>
    <w:p w:rsidR="002D70E6" w:rsidRPr="007004F3" w:rsidRDefault="002D70E6" w:rsidP="002D70E6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2D70E6" w:rsidRPr="007004F3" w:rsidRDefault="002D70E6" w:rsidP="002D70E6">
      <w:pPr>
        <w:rPr>
          <w:rFonts w:ascii="Arial" w:hAnsi="Arial" w:cs="Arial"/>
          <w:sz w:val="22"/>
          <w:szCs w:val="22"/>
        </w:rPr>
      </w:pPr>
    </w:p>
    <w:p w:rsidR="002D70E6" w:rsidRPr="007004F3" w:rsidRDefault="002D70E6" w:rsidP="002D70E6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2D70E6" w:rsidRPr="007004F3" w:rsidRDefault="002D70E6" w:rsidP="002D70E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2.7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583.7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599.7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2D70E6" w:rsidRPr="007004F3" w:rsidRDefault="002D70E6" w:rsidP="002D70E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9.8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2D70E6" w:rsidRPr="007004F3" w:rsidRDefault="002D70E6" w:rsidP="002D70E6">
      <w:pPr>
        <w:rPr>
          <w:rFonts w:ascii="Arial" w:hAnsi="Arial" w:cs="Arial"/>
          <w:sz w:val="22"/>
          <w:szCs w:val="22"/>
        </w:rPr>
      </w:pPr>
    </w:p>
    <w:p w:rsidR="002D70E6" w:rsidRPr="007004F3" w:rsidRDefault="002D70E6" w:rsidP="002D70E6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2D70E6" w:rsidRPr="007004F3" w:rsidRDefault="002D70E6" w:rsidP="002D70E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7004F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46.9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1.60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2.35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2D70E6" w:rsidRPr="007004F3" w:rsidRDefault="002D70E6" w:rsidP="002D70E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0.9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2D70E6" w:rsidRPr="007004F3" w:rsidRDefault="002D70E6" w:rsidP="002D70E6">
      <w:pPr>
        <w:rPr>
          <w:rFonts w:ascii="Arial" w:hAnsi="Arial" w:cs="Arial"/>
          <w:sz w:val="22"/>
          <w:szCs w:val="22"/>
        </w:rPr>
      </w:pPr>
    </w:p>
    <w:p w:rsidR="002D70E6" w:rsidRPr="007004F3" w:rsidRDefault="002D70E6" w:rsidP="002D70E6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2D70E6" w:rsidRPr="007004F3" w:rsidRDefault="002D70E6" w:rsidP="002D70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69.3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138.8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234.9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2D70E6" w:rsidRPr="007004F3" w:rsidRDefault="002D70E6" w:rsidP="002D70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16.1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2D70E6" w:rsidRPr="007004F3" w:rsidRDefault="002D70E6" w:rsidP="002D70E6">
      <w:pPr>
        <w:rPr>
          <w:rFonts w:ascii="Arial" w:hAnsi="Arial" w:cs="Arial"/>
          <w:sz w:val="22"/>
          <w:szCs w:val="22"/>
        </w:rPr>
      </w:pPr>
    </w:p>
    <w:p w:rsidR="002D70E6" w:rsidRPr="007004F3" w:rsidRDefault="002D70E6" w:rsidP="002D70E6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2D70E6" w:rsidRPr="007004F3" w:rsidRDefault="002D70E6" w:rsidP="002D70E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5.4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118.4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112.0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2D70E6" w:rsidRPr="007004F3" w:rsidRDefault="002D70E6" w:rsidP="002D70E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34.0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2D70E6" w:rsidRPr="007004F3" w:rsidRDefault="002D70E6" w:rsidP="002D70E6">
      <w:pPr>
        <w:rPr>
          <w:rFonts w:ascii="Arial" w:hAnsi="Arial" w:cs="Arial"/>
          <w:sz w:val="22"/>
          <w:szCs w:val="22"/>
        </w:rPr>
      </w:pPr>
    </w:p>
    <w:p w:rsidR="002D70E6" w:rsidRPr="007004F3" w:rsidRDefault="002D70E6" w:rsidP="002D70E6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2D70E6" w:rsidRPr="007004F3" w:rsidRDefault="002D70E6" w:rsidP="002D70E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58.4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128.7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203.9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2D70E6" w:rsidRPr="007004F3" w:rsidRDefault="002D70E6" w:rsidP="002D70E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3.3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2D70E6" w:rsidRDefault="002D70E6" w:rsidP="002D70E6">
      <w:pPr>
        <w:rPr>
          <w:rFonts w:ascii="Arial" w:hAnsi="Arial" w:cs="Arial"/>
          <w:sz w:val="22"/>
          <w:szCs w:val="22"/>
        </w:rPr>
      </w:pPr>
    </w:p>
    <w:p w:rsidR="002D70E6" w:rsidRPr="00E67093" w:rsidRDefault="002D70E6" w:rsidP="002D70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2D70E6" w:rsidRPr="00E67093" w:rsidRDefault="002D70E6" w:rsidP="002D70E6">
      <w:pPr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D70E6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2C0B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BF7C0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2020-10-05T16:29:00Z</dcterms:created>
  <dcterms:modified xsi:type="dcterms:W3CDTF">2020-10-05T16:30:00Z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