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6F4981" w:rsidP="001022EF">
            <w:pPr>
              <w:jc w:val="center"/>
            </w:pPr>
            <w:r>
              <w:t xml:space="preserve">Acting </w:t>
            </w:r>
            <w:r w:rsidR="001022EF"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640E9D" w:rsidRPr="00640E9D" w:rsidRDefault="00640E9D" w:rsidP="00640E9D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 w:rsidRPr="00640E9D">
        <w:rPr>
          <w:b/>
          <w:bCs/>
          <w:sz w:val="22"/>
          <w:szCs w:val="22"/>
        </w:rPr>
        <w:t>For Immediate Release</w:t>
      </w:r>
      <w:r w:rsidRPr="00640E9D">
        <w:rPr>
          <w:b/>
          <w:bCs/>
          <w:sz w:val="22"/>
          <w:szCs w:val="22"/>
        </w:rPr>
        <w:tab/>
        <w:t>Contact:  Dan Haug</w:t>
      </w:r>
    </w:p>
    <w:p w:rsidR="00640E9D" w:rsidRPr="00640E9D" w:rsidRDefault="00640E9D" w:rsidP="00640E9D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 w:rsidRPr="00640E9D">
        <w:rPr>
          <w:b/>
          <w:bCs/>
          <w:sz w:val="22"/>
          <w:szCs w:val="22"/>
        </w:rPr>
        <w:t>January 4, 2022</w:t>
      </w:r>
      <w:r w:rsidRPr="00640E9D">
        <w:rPr>
          <w:b/>
          <w:bCs/>
          <w:sz w:val="22"/>
          <w:szCs w:val="22"/>
        </w:rPr>
        <w:tab/>
        <w:t>573-751-2345</w:t>
      </w:r>
    </w:p>
    <w:p w:rsidR="00640E9D" w:rsidRPr="00640E9D" w:rsidRDefault="00640E9D" w:rsidP="00640E9D">
      <w:pPr>
        <w:jc w:val="center"/>
        <w:rPr>
          <w:rFonts w:ascii="Arial" w:hAnsi="Arial" w:cs="Arial"/>
          <w:sz w:val="26"/>
          <w:szCs w:val="26"/>
        </w:rPr>
      </w:pPr>
      <w:r w:rsidRPr="00640E9D">
        <w:rPr>
          <w:rFonts w:ascii="Arial" w:hAnsi="Arial" w:cs="Arial"/>
          <w:b/>
          <w:bCs/>
          <w:sz w:val="26"/>
          <w:szCs w:val="26"/>
        </w:rPr>
        <w:t>State Releases December 2021 General Revenue Report</w:t>
      </w:r>
    </w:p>
    <w:p w:rsidR="00640E9D" w:rsidRPr="00640E9D" w:rsidRDefault="00640E9D" w:rsidP="00640E9D">
      <w:pPr>
        <w:ind w:firstLine="720"/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ind w:firstLine="720"/>
        <w:rPr>
          <w:rFonts w:ascii="Arial" w:hAnsi="Arial" w:cs="Arial"/>
          <w:sz w:val="22"/>
          <w:szCs w:val="22"/>
        </w:rPr>
      </w:pPr>
      <w:r w:rsidRPr="00640E9D">
        <w:rPr>
          <w:rFonts w:ascii="Arial" w:hAnsi="Arial" w:cs="Arial"/>
          <w:sz w:val="22"/>
          <w:szCs w:val="22"/>
        </w:rPr>
        <w:t>State Budget Director Dan Haug announced today that net general revenue collections for December 2021 increased 31.9 percent compared to those for December 2020, from $904.3 million last year to $1.19 billion this year.</w:t>
      </w:r>
    </w:p>
    <w:p w:rsidR="00640E9D" w:rsidRPr="00640E9D" w:rsidRDefault="00640E9D" w:rsidP="00640E9D">
      <w:pPr>
        <w:ind w:firstLine="720"/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ind w:firstLine="720"/>
        <w:rPr>
          <w:rFonts w:ascii="Arial" w:hAnsi="Arial" w:cs="Arial"/>
          <w:sz w:val="22"/>
          <w:szCs w:val="22"/>
        </w:rPr>
      </w:pPr>
      <w:r w:rsidRPr="00640E9D">
        <w:rPr>
          <w:rFonts w:ascii="Arial" w:hAnsi="Arial" w:cs="Arial"/>
          <w:sz w:val="22"/>
          <w:szCs w:val="22"/>
        </w:rPr>
        <w:t>Net general revenue collections for 2022 fiscal year-to-date increased 4.7 percent compared to December 2020, from $5.44 billion last year to $5.70 billion this year.</w:t>
      </w:r>
    </w:p>
    <w:p w:rsidR="00640E9D" w:rsidRPr="00640E9D" w:rsidRDefault="00640E9D" w:rsidP="00640E9D">
      <w:pPr>
        <w:ind w:firstLine="720"/>
        <w:rPr>
          <w:rFonts w:ascii="Arial" w:hAnsi="Arial" w:cs="Arial"/>
          <w:sz w:val="18"/>
          <w:szCs w:val="18"/>
        </w:rPr>
      </w:pPr>
    </w:p>
    <w:p w:rsidR="00640E9D" w:rsidRPr="00640E9D" w:rsidRDefault="00640E9D" w:rsidP="00640E9D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640E9D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640E9D" w:rsidRPr="00640E9D" w:rsidRDefault="00640E9D" w:rsidP="00640E9D">
      <w:pPr>
        <w:rPr>
          <w:rFonts w:ascii="Arial" w:hAnsi="Arial" w:cs="Arial"/>
          <w:sz w:val="18"/>
          <w:szCs w:val="18"/>
        </w:rPr>
      </w:pPr>
    </w:p>
    <w:p w:rsidR="00640E9D" w:rsidRPr="00640E9D" w:rsidRDefault="00640E9D" w:rsidP="00640E9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40E9D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640E9D" w:rsidRPr="00640E9D" w:rsidRDefault="00640E9D" w:rsidP="00640E9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Decreased 4.5 percent for the year, from $4.02 billion last year to $3.84 billion this year.</w:t>
      </w:r>
      <w:proofErr w:type="gramEnd"/>
    </w:p>
    <w:p w:rsidR="00640E9D" w:rsidRPr="00640E9D" w:rsidRDefault="00640E9D" w:rsidP="00640E9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2.8 percent for the month.</w:t>
      </w:r>
      <w:proofErr w:type="gramEnd"/>
    </w:p>
    <w:p w:rsidR="00640E9D" w:rsidRPr="00640E9D" w:rsidRDefault="00640E9D" w:rsidP="00640E9D">
      <w:pPr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40E9D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640E9D" w:rsidRPr="00640E9D" w:rsidRDefault="00640E9D" w:rsidP="00640E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35.0 percent for the year from $1.19 billion last year to $1.60 billion this year.</w:t>
      </w:r>
      <w:proofErr w:type="gramEnd"/>
    </w:p>
    <w:p w:rsidR="00640E9D" w:rsidRPr="00640E9D" w:rsidRDefault="00640E9D" w:rsidP="00640E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108.1 percent for the month.</w:t>
      </w:r>
      <w:proofErr w:type="gramEnd"/>
      <w:r w:rsidRPr="00640E9D">
        <w:rPr>
          <w:rFonts w:ascii="Arial" w:hAnsi="Arial" w:cs="Arial"/>
          <w:sz w:val="22"/>
          <w:szCs w:val="22"/>
        </w:rPr>
        <w:t xml:space="preserve">  </w:t>
      </w:r>
    </w:p>
    <w:p w:rsidR="00640E9D" w:rsidRPr="00640E9D" w:rsidRDefault="00640E9D" w:rsidP="00640E9D">
      <w:pPr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40E9D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640E9D" w:rsidRPr="00640E9D" w:rsidRDefault="00640E9D" w:rsidP="00640E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9.9 percent for the year, from $366.7 million last year to $402.9 million this year.</w:t>
      </w:r>
      <w:proofErr w:type="gramEnd"/>
    </w:p>
    <w:p w:rsidR="00640E9D" w:rsidRPr="00640E9D" w:rsidRDefault="00640E9D" w:rsidP="00640E9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86.9 percent for the month.</w:t>
      </w:r>
      <w:proofErr w:type="gramEnd"/>
    </w:p>
    <w:p w:rsidR="00640E9D" w:rsidRPr="00640E9D" w:rsidRDefault="00640E9D" w:rsidP="00640E9D">
      <w:pPr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40E9D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640E9D" w:rsidRPr="00640E9D" w:rsidRDefault="00640E9D" w:rsidP="00640E9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Decreased 0.4 percent for the year, from $258.0 million last year to $256.9 million this year.</w:t>
      </w:r>
      <w:proofErr w:type="gramEnd"/>
    </w:p>
    <w:p w:rsidR="00640E9D" w:rsidRPr="00640E9D" w:rsidRDefault="00640E9D" w:rsidP="00640E9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Decreased 27.2 percent for the month.</w:t>
      </w:r>
      <w:proofErr w:type="gramEnd"/>
    </w:p>
    <w:p w:rsidR="00640E9D" w:rsidRPr="00640E9D" w:rsidRDefault="00640E9D" w:rsidP="00640E9D">
      <w:pPr>
        <w:rPr>
          <w:rFonts w:ascii="Arial" w:hAnsi="Arial" w:cs="Arial"/>
          <w:sz w:val="22"/>
          <w:szCs w:val="22"/>
        </w:rPr>
      </w:pPr>
    </w:p>
    <w:p w:rsidR="00640E9D" w:rsidRPr="00640E9D" w:rsidRDefault="00640E9D" w:rsidP="00640E9D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40E9D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640E9D" w:rsidRPr="00640E9D" w:rsidRDefault="00640E9D" w:rsidP="00640E9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Increased 2.9 percent for the year, from $389.2 million last year to $400.5 million this year.</w:t>
      </w:r>
      <w:proofErr w:type="gramEnd"/>
      <w:r w:rsidRPr="00640E9D">
        <w:rPr>
          <w:rFonts w:ascii="Arial" w:hAnsi="Arial" w:cs="Arial"/>
          <w:sz w:val="22"/>
          <w:szCs w:val="22"/>
        </w:rPr>
        <w:t xml:space="preserve"> </w:t>
      </w:r>
    </w:p>
    <w:p w:rsidR="00640E9D" w:rsidRPr="00640E9D" w:rsidRDefault="00640E9D" w:rsidP="00640E9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640E9D">
        <w:rPr>
          <w:rFonts w:ascii="Arial" w:hAnsi="Arial" w:cs="Arial"/>
          <w:sz w:val="22"/>
          <w:szCs w:val="22"/>
        </w:rPr>
        <w:t>Decreased 9.6 percent for the month.</w:t>
      </w:r>
      <w:proofErr w:type="gramEnd"/>
      <w:r w:rsidRPr="00640E9D">
        <w:rPr>
          <w:rFonts w:ascii="Arial" w:hAnsi="Arial" w:cs="Arial"/>
          <w:sz w:val="22"/>
          <w:szCs w:val="22"/>
        </w:rPr>
        <w:t xml:space="preserve"> </w:t>
      </w:r>
    </w:p>
    <w:p w:rsidR="00640E9D" w:rsidRPr="00640E9D" w:rsidRDefault="00640E9D" w:rsidP="00640E9D">
      <w:pPr>
        <w:rPr>
          <w:rFonts w:ascii="Arial" w:hAnsi="Arial" w:cs="Arial"/>
          <w:sz w:val="18"/>
          <w:szCs w:val="18"/>
        </w:rPr>
      </w:pPr>
    </w:p>
    <w:p w:rsidR="00640E9D" w:rsidRPr="00640E9D" w:rsidRDefault="00640E9D" w:rsidP="00640E9D">
      <w:pPr>
        <w:rPr>
          <w:rFonts w:ascii="Arial" w:hAnsi="Arial" w:cs="Arial"/>
          <w:i/>
          <w:iCs/>
          <w:sz w:val="22"/>
          <w:szCs w:val="22"/>
        </w:rPr>
      </w:pPr>
      <w:r w:rsidRPr="00640E9D">
        <w:rPr>
          <w:rFonts w:ascii="Arial" w:hAnsi="Arial" w:cs="Arial"/>
          <w:i/>
          <w:iCs/>
          <w:sz w:val="22"/>
          <w:szCs w:val="22"/>
        </w:rPr>
        <w:t xml:space="preserve">Due to the </w:t>
      </w:r>
      <w:proofErr w:type="spellStart"/>
      <w:r w:rsidRPr="00640E9D">
        <w:rPr>
          <w:rFonts w:ascii="Arial" w:hAnsi="Arial" w:cs="Arial"/>
          <w:i/>
          <w:iCs/>
          <w:sz w:val="22"/>
          <w:szCs w:val="22"/>
        </w:rPr>
        <w:t>COVID</w:t>
      </w:r>
      <w:proofErr w:type="spellEnd"/>
      <w:r w:rsidRPr="00640E9D">
        <w:rPr>
          <w:rFonts w:ascii="Arial" w:hAnsi="Arial" w:cs="Arial"/>
          <w:i/>
          <w:iCs/>
          <w:sz w:val="22"/>
          <w:szCs w:val="22"/>
        </w:rPr>
        <w:t xml:space="preserve"> pandemic, the 2020 income tax filing deadlines in April and June </w:t>
      </w:r>
      <w:proofErr w:type="gramStart"/>
      <w:r w:rsidRPr="00640E9D">
        <w:rPr>
          <w:rFonts w:ascii="Arial" w:hAnsi="Arial" w:cs="Arial"/>
          <w:i/>
          <w:iCs/>
          <w:sz w:val="22"/>
          <w:szCs w:val="22"/>
        </w:rPr>
        <w:t>were moved</w:t>
      </w:r>
      <w:proofErr w:type="gramEnd"/>
      <w:r w:rsidRPr="00640E9D">
        <w:rPr>
          <w:rFonts w:ascii="Arial" w:hAnsi="Arial" w:cs="Arial"/>
          <w:i/>
          <w:iCs/>
          <w:sz w:val="22"/>
          <w:szCs w:val="22"/>
        </w:rPr>
        <w:t xml:space="preserve"> to July 15, 2020.  Therefore, the comparison of </w:t>
      </w:r>
      <w:proofErr w:type="spellStart"/>
      <w:r w:rsidRPr="00640E9D">
        <w:rPr>
          <w:rFonts w:ascii="Arial" w:hAnsi="Arial" w:cs="Arial"/>
          <w:i/>
          <w:iCs/>
          <w:sz w:val="22"/>
          <w:szCs w:val="22"/>
        </w:rPr>
        <w:t>FY21</w:t>
      </w:r>
      <w:proofErr w:type="spellEnd"/>
      <w:r w:rsidRPr="00640E9D">
        <w:rPr>
          <w:rFonts w:ascii="Arial" w:hAnsi="Arial" w:cs="Arial"/>
          <w:i/>
          <w:iCs/>
          <w:sz w:val="22"/>
          <w:szCs w:val="22"/>
        </w:rPr>
        <w:t xml:space="preserve"> to </w:t>
      </w:r>
      <w:proofErr w:type="spellStart"/>
      <w:r w:rsidRPr="00640E9D">
        <w:rPr>
          <w:rFonts w:ascii="Arial" w:hAnsi="Arial" w:cs="Arial"/>
          <w:i/>
          <w:iCs/>
          <w:sz w:val="22"/>
          <w:szCs w:val="22"/>
        </w:rPr>
        <w:t>FY22</w:t>
      </w:r>
      <w:proofErr w:type="spellEnd"/>
      <w:r w:rsidRPr="00640E9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640E9D">
        <w:rPr>
          <w:rFonts w:ascii="Arial" w:hAnsi="Arial" w:cs="Arial"/>
          <w:i/>
          <w:iCs/>
          <w:sz w:val="22"/>
          <w:szCs w:val="22"/>
        </w:rPr>
        <w:t>will be negatively impacted</w:t>
      </w:r>
      <w:proofErr w:type="gramEnd"/>
      <w:r w:rsidRPr="00640E9D">
        <w:rPr>
          <w:rFonts w:ascii="Arial" w:hAnsi="Arial" w:cs="Arial"/>
          <w:i/>
          <w:iCs/>
          <w:sz w:val="22"/>
          <w:szCs w:val="22"/>
        </w:rPr>
        <w:t xml:space="preserve"> throughout </w:t>
      </w:r>
      <w:proofErr w:type="spellStart"/>
      <w:r w:rsidRPr="00640E9D">
        <w:rPr>
          <w:rFonts w:ascii="Arial" w:hAnsi="Arial" w:cs="Arial"/>
          <w:i/>
          <w:iCs/>
          <w:sz w:val="22"/>
          <w:szCs w:val="22"/>
        </w:rPr>
        <w:t>FY22</w:t>
      </w:r>
      <w:proofErr w:type="spellEnd"/>
      <w:r w:rsidRPr="00640E9D">
        <w:rPr>
          <w:rFonts w:ascii="Arial" w:hAnsi="Arial" w:cs="Arial"/>
          <w:i/>
          <w:iCs/>
          <w:sz w:val="22"/>
          <w:szCs w:val="22"/>
        </w:rPr>
        <w:t xml:space="preserve">.  </w:t>
      </w:r>
    </w:p>
    <w:p w:rsidR="00640E9D" w:rsidRPr="00640E9D" w:rsidRDefault="00640E9D" w:rsidP="00640E9D">
      <w:pPr>
        <w:rPr>
          <w:rFonts w:ascii="Arial" w:hAnsi="Arial" w:cs="Arial"/>
          <w:i/>
          <w:iCs/>
          <w:sz w:val="22"/>
          <w:szCs w:val="22"/>
        </w:rPr>
      </w:pPr>
    </w:p>
    <w:p w:rsidR="00640E9D" w:rsidRPr="00640E9D" w:rsidRDefault="00640E9D" w:rsidP="00640E9D">
      <w:pPr>
        <w:rPr>
          <w:rFonts w:ascii="Arial" w:hAnsi="Arial" w:cs="Arial"/>
          <w:i/>
          <w:iCs/>
          <w:sz w:val="22"/>
          <w:szCs w:val="22"/>
        </w:rPr>
      </w:pPr>
      <w:r w:rsidRPr="00640E9D">
        <w:rPr>
          <w:rFonts w:ascii="Arial" w:hAnsi="Arial" w:cs="Arial"/>
          <w:i/>
          <w:iCs/>
          <w:sz w:val="22"/>
          <w:szCs w:val="22"/>
        </w:rPr>
        <w:t xml:space="preserve">The amount reflected as the total for Sales and Use Tax </w:t>
      </w:r>
      <w:proofErr w:type="gramStart"/>
      <w:r w:rsidRPr="00640E9D">
        <w:rPr>
          <w:rFonts w:ascii="Arial" w:hAnsi="Arial" w:cs="Arial"/>
          <w:i/>
          <w:iCs/>
          <w:sz w:val="22"/>
          <w:szCs w:val="22"/>
        </w:rPr>
        <w:t>was inflated</w:t>
      </w:r>
      <w:proofErr w:type="gramEnd"/>
      <w:r w:rsidRPr="00640E9D">
        <w:rPr>
          <w:rFonts w:ascii="Arial" w:hAnsi="Arial" w:cs="Arial"/>
          <w:i/>
          <w:iCs/>
          <w:sz w:val="22"/>
          <w:szCs w:val="22"/>
        </w:rPr>
        <w:t xml:space="preserve"> by dollars that should have been allocated to other funds.  The Department is in the process of reallocating those amounts back to the applicable funds.  This reallocation </w:t>
      </w:r>
      <w:proofErr w:type="gramStart"/>
      <w:r w:rsidRPr="00640E9D">
        <w:rPr>
          <w:rFonts w:ascii="Arial" w:hAnsi="Arial" w:cs="Arial"/>
          <w:i/>
          <w:iCs/>
          <w:sz w:val="22"/>
          <w:szCs w:val="22"/>
        </w:rPr>
        <w:t>will be addressed</w:t>
      </w:r>
      <w:proofErr w:type="gramEnd"/>
      <w:r w:rsidRPr="00640E9D">
        <w:rPr>
          <w:rFonts w:ascii="Arial" w:hAnsi="Arial" w:cs="Arial"/>
          <w:i/>
          <w:iCs/>
          <w:sz w:val="22"/>
          <w:szCs w:val="22"/>
        </w:rPr>
        <w:t xml:space="preserve"> in the January monthly report.</w:t>
      </w:r>
    </w:p>
    <w:p w:rsidR="00640E9D" w:rsidRPr="00640E9D" w:rsidRDefault="00640E9D" w:rsidP="00640E9D">
      <w:pPr>
        <w:rPr>
          <w:rFonts w:ascii="Arial" w:hAnsi="Arial" w:cs="Arial"/>
          <w:i/>
          <w:iCs/>
          <w:sz w:val="22"/>
          <w:szCs w:val="22"/>
        </w:rPr>
      </w:pPr>
    </w:p>
    <w:p w:rsidR="00640E9D" w:rsidRPr="00640E9D" w:rsidRDefault="00640E9D" w:rsidP="00640E9D">
      <w:pPr>
        <w:rPr>
          <w:rFonts w:ascii="Arial" w:hAnsi="Arial" w:cs="Arial"/>
          <w:sz w:val="22"/>
          <w:szCs w:val="22"/>
        </w:rPr>
      </w:pPr>
      <w:r w:rsidRPr="00640E9D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8F70AA" w:rsidRPr="00BC4BD8" w:rsidRDefault="00640E9D" w:rsidP="00640E9D">
      <w:pPr>
        <w:ind w:left="720"/>
        <w:jc w:val="center"/>
        <w:rPr>
          <w:rFonts w:ascii="Arial" w:hAnsi="Arial" w:cs="Arial"/>
          <w:sz w:val="22"/>
          <w:szCs w:val="22"/>
        </w:rPr>
      </w:pPr>
      <w:r w:rsidRPr="00640E9D">
        <w:rPr>
          <w:rFonts w:ascii="Arial" w:hAnsi="Arial" w:cs="Arial"/>
          <w:sz w:val="22"/>
          <w:szCs w:val="22"/>
        </w:rPr>
        <w:t>###</w:t>
      </w:r>
      <w:bookmarkStart w:id="0" w:name="_GoBack"/>
      <w:bookmarkEnd w:id="0"/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392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0A87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0E9D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169CF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31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7B35A7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2022-01-04T19:56:00Z</dcterms:created>
  <dcterms:modified xsi:type="dcterms:W3CDTF">2022-01-04T20:05:00Z</dcterms:modified>
</cp:coreProperties>
</file>