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6F4981" w:rsidP="001022EF">
            <w:pPr>
              <w:jc w:val="center"/>
            </w:pPr>
            <w:r>
              <w:t xml:space="preserve">Acting </w:t>
            </w:r>
            <w:r w:rsidR="001022EF"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05558F" w:rsidRDefault="00933352" w:rsidP="006F6D95">
      <w:pPr>
        <w:tabs>
          <w:tab w:val="right" w:pos="10080"/>
        </w:tabs>
        <w:ind w:right="-720"/>
        <w:rPr>
          <w:b/>
          <w:bCs/>
          <w:sz w:val="22"/>
          <w:szCs w:val="22"/>
        </w:rPr>
      </w:pPr>
      <w:r w:rsidRPr="0005558F">
        <w:rPr>
          <w:b/>
          <w:bCs/>
          <w:sz w:val="22"/>
          <w:szCs w:val="22"/>
        </w:rPr>
        <w:t xml:space="preserve">For </w:t>
      </w:r>
      <w:r w:rsidR="006B48EF" w:rsidRPr="0005558F">
        <w:rPr>
          <w:b/>
          <w:bCs/>
          <w:sz w:val="22"/>
          <w:szCs w:val="22"/>
        </w:rPr>
        <w:t>Immediate Release</w:t>
      </w:r>
      <w:r w:rsidRPr="0005558F">
        <w:rPr>
          <w:b/>
          <w:bCs/>
          <w:sz w:val="22"/>
          <w:szCs w:val="22"/>
        </w:rPr>
        <w:tab/>
      </w:r>
      <w:r w:rsidR="009C51B0" w:rsidRPr="0005558F">
        <w:rPr>
          <w:b/>
          <w:bCs/>
          <w:sz w:val="22"/>
          <w:szCs w:val="22"/>
        </w:rPr>
        <w:t>Contact:  Dan Haug</w:t>
      </w:r>
    </w:p>
    <w:p w:rsidR="00933352" w:rsidRPr="0005558F" w:rsidRDefault="0005558F" w:rsidP="0005558F">
      <w:pPr>
        <w:tabs>
          <w:tab w:val="right" w:pos="10080"/>
        </w:tabs>
        <w:ind w:right="-720"/>
        <w:rPr>
          <w:b/>
          <w:bCs/>
          <w:sz w:val="22"/>
          <w:szCs w:val="22"/>
        </w:rPr>
      </w:pPr>
      <w:r w:rsidRPr="0005558F">
        <w:rPr>
          <w:b/>
          <w:bCs/>
          <w:sz w:val="22"/>
          <w:szCs w:val="22"/>
        </w:rPr>
        <w:t>February</w:t>
      </w:r>
      <w:r w:rsidR="00694FE6" w:rsidRPr="0005558F">
        <w:rPr>
          <w:b/>
          <w:bCs/>
          <w:sz w:val="22"/>
          <w:szCs w:val="22"/>
        </w:rPr>
        <w:t xml:space="preserve"> </w:t>
      </w:r>
      <w:r w:rsidR="00DF66E8" w:rsidRPr="0005558F">
        <w:rPr>
          <w:b/>
          <w:bCs/>
          <w:sz w:val="22"/>
          <w:szCs w:val="22"/>
        </w:rPr>
        <w:t>3</w:t>
      </w:r>
      <w:r w:rsidR="00003A3D" w:rsidRPr="0005558F">
        <w:rPr>
          <w:b/>
          <w:bCs/>
          <w:sz w:val="22"/>
          <w:szCs w:val="22"/>
        </w:rPr>
        <w:t>, 2022</w:t>
      </w:r>
      <w:r w:rsidR="00933352" w:rsidRPr="0005558F">
        <w:rPr>
          <w:b/>
          <w:bCs/>
          <w:sz w:val="22"/>
          <w:szCs w:val="22"/>
        </w:rPr>
        <w:tab/>
        <w:t>573-751-2345</w:t>
      </w:r>
    </w:p>
    <w:p w:rsidR="0005558F" w:rsidRPr="0005558F" w:rsidRDefault="0005558F" w:rsidP="0005558F">
      <w:pPr>
        <w:jc w:val="center"/>
        <w:rPr>
          <w:rFonts w:ascii="Arial" w:hAnsi="Arial" w:cs="Arial"/>
          <w:sz w:val="26"/>
          <w:szCs w:val="26"/>
        </w:rPr>
      </w:pPr>
      <w:r w:rsidRPr="0005558F">
        <w:rPr>
          <w:rFonts w:ascii="Arial" w:hAnsi="Arial" w:cs="Arial"/>
          <w:b/>
          <w:bCs/>
          <w:sz w:val="26"/>
          <w:szCs w:val="26"/>
        </w:rPr>
        <w:t>State Releases January 2022 General Revenue Report</w:t>
      </w:r>
    </w:p>
    <w:p w:rsidR="0005558F" w:rsidRPr="0005558F" w:rsidRDefault="0005558F" w:rsidP="0005558F">
      <w:pPr>
        <w:rPr>
          <w:rFonts w:ascii="Arial" w:hAnsi="Arial" w:cs="Arial"/>
          <w:sz w:val="22"/>
          <w:szCs w:val="22"/>
        </w:rPr>
      </w:pPr>
    </w:p>
    <w:p w:rsidR="0005558F" w:rsidRPr="0005558F" w:rsidRDefault="0005558F" w:rsidP="0005558F">
      <w:pPr>
        <w:ind w:firstLine="720"/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State Budget Director Dan Haug announced today that net general revenue collections for January 2022 declined 13.4 percent compared to those for January 2021, from $1.02 billion last year to $882.1 million this year.</w:t>
      </w:r>
    </w:p>
    <w:p w:rsidR="0005558F" w:rsidRPr="0005558F" w:rsidRDefault="0005558F" w:rsidP="0005558F">
      <w:pPr>
        <w:ind w:firstLine="720"/>
        <w:rPr>
          <w:rFonts w:ascii="Arial" w:hAnsi="Arial" w:cs="Arial"/>
          <w:sz w:val="22"/>
          <w:szCs w:val="22"/>
        </w:rPr>
      </w:pPr>
    </w:p>
    <w:p w:rsidR="0005558F" w:rsidRPr="0005558F" w:rsidRDefault="0005558F" w:rsidP="0005558F">
      <w:pPr>
        <w:ind w:firstLine="720"/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Net general revenue collections for 2022 fiscal year-to-date increased 1.9 percent compared to January 2021, from $6.46 billion last year to $6.58 billion this year.</w:t>
      </w:r>
    </w:p>
    <w:p w:rsidR="0005558F" w:rsidRPr="0005558F" w:rsidRDefault="0005558F" w:rsidP="0005558F">
      <w:pPr>
        <w:ind w:firstLine="720"/>
        <w:rPr>
          <w:rFonts w:ascii="Arial" w:hAnsi="Arial" w:cs="Arial"/>
          <w:sz w:val="18"/>
          <w:szCs w:val="18"/>
        </w:rPr>
      </w:pPr>
    </w:p>
    <w:p w:rsidR="0005558F" w:rsidRPr="0005558F" w:rsidRDefault="0005558F" w:rsidP="0005558F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05558F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05558F" w:rsidRPr="0005558F" w:rsidRDefault="0005558F" w:rsidP="0005558F">
      <w:pPr>
        <w:rPr>
          <w:rFonts w:ascii="Arial" w:hAnsi="Arial" w:cs="Arial"/>
          <w:sz w:val="16"/>
          <w:szCs w:val="16"/>
        </w:rPr>
      </w:pPr>
    </w:p>
    <w:p w:rsidR="0005558F" w:rsidRPr="0005558F" w:rsidRDefault="0005558F" w:rsidP="0005558F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5558F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05558F" w:rsidRPr="0005558F" w:rsidRDefault="0005558F" w:rsidP="000555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Decreased 3.0 percent for the year, from $4.81 billion last year to $4.67 billion this year.</w:t>
      </w:r>
    </w:p>
    <w:p w:rsidR="0005558F" w:rsidRPr="0005558F" w:rsidRDefault="0005558F" w:rsidP="000555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Increased 4.8 percent for the month.</w:t>
      </w:r>
    </w:p>
    <w:p w:rsidR="0005558F" w:rsidRPr="0005558F" w:rsidRDefault="0005558F" w:rsidP="0005558F">
      <w:pPr>
        <w:rPr>
          <w:rFonts w:ascii="Arial" w:hAnsi="Arial" w:cs="Arial"/>
          <w:sz w:val="16"/>
          <w:szCs w:val="16"/>
        </w:rPr>
      </w:pPr>
    </w:p>
    <w:p w:rsidR="0005558F" w:rsidRPr="0005558F" w:rsidRDefault="0005558F" w:rsidP="0005558F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5558F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05558F" w:rsidRPr="0005558F" w:rsidRDefault="0005558F" w:rsidP="0005558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Increased 15.6 percent for the year, from $1.39 billion last year to $1.60 billion this year.</w:t>
      </w:r>
    </w:p>
    <w:p w:rsidR="0005558F" w:rsidRPr="0005558F" w:rsidRDefault="0005558F" w:rsidP="0005558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 xml:space="preserve">Decreased 97.4 percent for the month.  </w:t>
      </w:r>
    </w:p>
    <w:p w:rsidR="0005558F" w:rsidRPr="0005558F" w:rsidRDefault="0005558F" w:rsidP="0005558F">
      <w:pPr>
        <w:rPr>
          <w:rFonts w:ascii="Arial" w:hAnsi="Arial" w:cs="Arial"/>
          <w:sz w:val="16"/>
          <w:szCs w:val="16"/>
        </w:rPr>
      </w:pPr>
    </w:p>
    <w:p w:rsidR="0005558F" w:rsidRPr="0005558F" w:rsidRDefault="0005558F" w:rsidP="0005558F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5558F">
        <w:rPr>
          <w:rFonts w:ascii="Arial" w:hAnsi="Arial" w:cs="Arial"/>
          <w:b/>
          <w:bCs/>
          <w:sz w:val="22"/>
          <w:szCs w:val="22"/>
          <w:u w:val="single"/>
        </w:rPr>
        <w:t>Corporate income tax collections</w:t>
      </w:r>
    </w:p>
    <w:p w:rsidR="0005558F" w:rsidRPr="0005558F" w:rsidRDefault="0005558F" w:rsidP="0005558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Increased 8.9 percent for the year, from $415.1 million last year to $452.2 million this year.</w:t>
      </w:r>
    </w:p>
    <w:p w:rsidR="0005558F" w:rsidRPr="0005558F" w:rsidRDefault="0005558F" w:rsidP="0005558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Increased 1.8 percent for the month.</w:t>
      </w:r>
    </w:p>
    <w:p w:rsidR="0005558F" w:rsidRPr="0005558F" w:rsidRDefault="0005558F" w:rsidP="0005558F">
      <w:pPr>
        <w:rPr>
          <w:rFonts w:ascii="Arial" w:hAnsi="Arial" w:cs="Arial"/>
          <w:sz w:val="16"/>
          <w:szCs w:val="16"/>
        </w:rPr>
      </w:pPr>
    </w:p>
    <w:p w:rsidR="0005558F" w:rsidRPr="0005558F" w:rsidRDefault="0005558F" w:rsidP="0005558F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5558F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05558F" w:rsidRPr="0005558F" w:rsidRDefault="0005558F" w:rsidP="000555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Decreased 1.5 percent for the year, from $284.2 million last year to $279.9 million this year.</w:t>
      </w:r>
    </w:p>
    <w:p w:rsidR="0005558F" w:rsidRPr="0005558F" w:rsidRDefault="0005558F" w:rsidP="000555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>Decreased 12.1 percent for the month.</w:t>
      </w:r>
    </w:p>
    <w:p w:rsidR="0005558F" w:rsidRPr="0005558F" w:rsidRDefault="0005558F" w:rsidP="0005558F">
      <w:pPr>
        <w:rPr>
          <w:rFonts w:ascii="Arial" w:hAnsi="Arial" w:cs="Arial"/>
          <w:sz w:val="16"/>
          <w:szCs w:val="16"/>
        </w:rPr>
      </w:pPr>
    </w:p>
    <w:p w:rsidR="0005558F" w:rsidRPr="0005558F" w:rsidRDefault="0005558F" w:rsidP="0005558F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5558F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05558F" w:rsidRPr="0005558F" w:rsidRDefault="0005558F" w:rsidP="000555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 xml:space="preserve">Decreased 3.3 percent for the year, from $441.2 million last year to $426.4 million this year. </w:t>
      </w:r>
    </w:p>
    <w:p w:rsidR="0005558F" w:rsidRPr="0005558F" w:rsidRDefault="0005558F" w:rsidP="000555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sz w:val="22"/>
          <w:szCs w:val="22"/>
        </w:rPr>
        <w:t xml:space="preserve">Decreased 50.1 percent for the month. </w:t>
      </w:r>
    </w:p>
    <w:p w:rsidR="0005558F" w:rsidRPr="0005558F" w:rsidRDefault="0005558F" w:rsidP="0005558F">
      <w:pPr>
        <w:rPr>
          <w:rFonts w:ascii="Arial" w:hAnsi="Arial" w:cs="Arial"/>
          <w:sz w:val="16"/>
          <w:szCs w:val="16"/>
        </w:rPr>
      </w:pPr>
    </w:p>
    <w:p w:rsidR="0005558F" w:rsidRPr="0005558F" w:rsidRDefault="0005558F" w:rsidP="0005558F">
      <w:pPr>
        <w:rPr>
          <w:rFonts w:ascii="Arial" w:hAnsi="Arial" w:cs="Arial"/>
          <w:i/>
          <w:iCs/>
        </w:rPr>
      </w:pPr>
      <w:r w:rsidRPr="0005558F">
        <w:rPr>
          <w:rFonts w:ascii="Arial" w:hAnsi="Arial" w:cs="Arial"/>
          <w:i/>
          <w:iCs/>
        </w:rPr>
        <w:t xml:space="preserve">Due to the </w:t>
      </w:r>
      <w:proofErr w:type="spellStart"/>
      <w:r w:rsidRPr="0005558F">
        <w:rPr>
          <w:rFonts w:ascii="Arial" w:hAnsi="Arial" w:cs="Arial"/>
          <w:i/>
          <w:iCs/>
        </w:rPr>
        <w:t>COVID</w:t>
      </w:r>
      <w:proofErr w:type="spellEnd"/>
      <w:r w:rsidRPr="0005558F">
        <w:rPr>
          <w:rFonts w:ascii="Arial" w:hAnsi="Arial" w:cs="Arial"/>
          <w:i/>
          <w:iCs/>
        </w:rPr>
        <w:t xml:space="preserve"> pandemic, the 2020 income tax filing deadlines in April and June were moved to July 15, 2020.  Therefore, the comparison of </w:t>
      </w:r>
      <w:proofErr w:type="spellStart"/>
      <w:r w:rsidRPr="0005558F">
        <w:rPr>
          <w:rFonts w:ascii="Arial" w:hAnsi="Arial" w:cs="Arial"/>
          <w:i/>
          <w:iCs/>
        </w:rPr>
        <w:t>FY21</w:t>
      </w:r>
      <w:proofErr w:type="spellEnd"/>
      <w:r w:rsidRPr="0005558F">
        <w:rPr>
          <w:rFonts w:ascii="Arial" w:hAnsi="Arial" w:cs="Arial"/>
          <w:i/>
          <w:iCs/>
        </w:rPr>
        <w:t xml:space="preserve"> to </w:t>
      </w:r>
      <w:proofErr w:type="spellStart"/>
      <w:r w:rsidRPr="0005558F">
        <w:rPr>
          <w:rFonts w:ascii="Arial" w:hAnsi="Arial" w:cs="Arial"/>
          <w:i/>
          <w:iCs/>
        </w:rPr>
        <w:t>FY22</w:t>
      </w:r>
      <w:proofErr w:type="spellEnd"/>
      <w:r w:rsidRPr="0005558F">
        <w:rPr>
          <w:rFonts w:ascii="Arial" w:hAnsi="Arial" w:cs="Arial"/>
          <w:i/>
          <w:iCs/>
        </w:rPr>
        <w:t xml:space="preserve"> will be negatively impacted throughout </w:t>
      </w:r>
      <w:proofErr w:type="spellStart"/>
      <w:r w:rsidRPr="0005558F">
        <w:rPr>
          <w:rFonts w:ascii="Arial" w:hAnsi="Arial" w:cs="Arial"/>
          <w:i/>
          <w:iCs/>
        </w:rPr>
        <w:t>FY22</w:t>
      </w:r>
      <w:proofErr w:type="spellEnd"/>
      <w:r w:rsidRPr="0005558F">
        <w:rPr>
          <w:rFonts w:ascii="Arial" w:hAnsi="Arial" w:cs="Arial"/>
          <w:i/>
          <w:iCs/>
        </w:rPr>
        <w:t>.</w:t>
      </w:r>
    </w:p>
    <w:p w:rsidR="0005558F" w:rsidRPr="0005558F" w:rsidRDefault="0005558F" w:rsidP="0005558F">
      <w:pPr>
        <w:rPr>
          <w:rFonts w:ascii="Arial" w:hAnsi="Arial" w:cs="Arial"/>
          <w:i/>
          <w:iCs/>
          <w:sz w:val="22"/>
          <w:szCs w:val="22"/>
        </w:rPr>
      </w:pPr>
    </w:p>
    <w:p w:rsidR="0005558F" w:rsidRPr="0005558F" w:rsidRDefault="0005558F" w:rsidP="0005558F">
      <w:pPr>
        <w:rPr>
          <w:rFonts w:ascii="Arial" w:hAnsi="Arial" w:cs="Arial"/>
          <w:i/>
          <w:iCs/>
        </w:rPr>
      </w:pPr>
      <w:r w:rsidRPr="0005558F">
        <w:rPr>
          <w:rFonts w:ascii="Arial" w:hAnsi="Arial" w:cs="Arial"/>
          <w:i/>
          <w:iCs/>
        </w:rPr>
        <w:t>The amount shown for total Sales and Use Tax is artificially low as it reflects a correction made for the December distribution error.</w:t>
      </w:r>
    </w:p>
    <w:p w:rsidR="0005558F" w:rsidRPr="0005558F" w:rsidRDefault="0005558F" w:rsidP="0005558F">
      <w:pPr>
        <w:rPr>
          <w:rFonts w:ascii="Arial" w:hAnsi="Arial" w:cs="Arial"/>
          <w:i/>
          <w:iCs/>
          <w:sz w:val="22"/>
          <w:szCs w:val="22"/>
        </w:rPr>
      </w:pPr>
    </w:p>
    <w:p w:rsidR="006B48EF" w:rsidRPr="007E7A25" w:rsidRDefault="0005558F" w:rsidP="0005558F">
      <w:pPr>
        <w:tabs>
          <w:tab w:val="left" w:pos="9540"/>
        </w:tabs>
        <w:rPr>
          <w:rFonts w:ascii="Arial" w:hAnsi="Arial" w:cs="Arial"/>
          <w:sz w:val="22"/>
          <w:szCs w:val="22"/>
        </w:rPr>
      </w:pPr>
      <w:r w:rsidRPr="0005558F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</w:t>
      </w: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5558F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C40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2022-02-08T18:56:00Z</dcterms:created>
  <dcterms:modified xsi:type="dcterms:W3CDTF">2022-02-08T18:56:00Z</dcterms:modified>
</cp:coreProperties>
</file>