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69692F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 xml:space="preserve">March </w:t>
      </w:r>
      <w:r w:rsidR="00DF66E8">
        <w:rPr>
          <w:b/>
          <w:bCs/>
        </w:rPr>
        <w:t>3</w:t>
      </w:r>
      <w:r w:rsidR="00003A3D">
        <w:rPr>
          <w:b/>
          <w:bCs/>
        </w:rPr>
        <w:t>, 202</w:t>
      </w:r>
      <w:r>
        <w:rPr>
          <w:b/>
          <w:bCs/>
        </w:rPr>
        <w:t>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765D55" w:rsidRPr="00765D55" w:rsidRDefault="00765D55" w:rsidP="00765D55">
      <w:pPr>
        <w:jc w:val="center"/>
        <w:rPr>
          <w:rFonts w:ascii="Arial" w:hAnsi="Arial" w:cs="Arial"/>
        </w:rPr>
      </w:pPr>
      <w:r w:rsidRPr="00765D55">
        <w:rPr>
          <w:rFonts w:ascii="Arial" w:hAnsi="Arial" w:cs="Arial"/>
          <w:b/>
          <w:bCs/>
          <w:sz w:val="28"/>
        </w:rPr>
        <w:t>State Releases February 2023 General Revenue Report</w:t>
      </w:r>
    </w:p>
    <w:p w:rsidR="00765D55" w:rsidRPr="00765D55" w:rsidRDefault="00765D55" w:rsidP="00765D55">
      <w:pPr>
        <w:rPr>
          <w:rFonts w:ascii="Arial" w:hAnsi="Arial" w:cs="Arial"/>
          <w:sz w:val="22"/>
          <w:szCs w:val="22"/>
        </w:rPr>
      </w:pPr>
    </w:p>
    <w:p w:rsidR="00765D55" w:rsidRPr="00411B11" w:rsidRDefault="00765D55" w:rsidP="00765D55">
      <w:pPr>
        <w:ind w:firstLine="720"/>
        <w:rPr>
          <w:rFonts w:ascii="Arial" w:hAnsi="Arial" w:cs="Arial"/>
          <w:sz w:val="22"/>
          <w:szCs w:val="22"/>
        </w:rPr>
      </w:pPr>
      <w:r w:rsidRPr="00411B11">
        <w:rPr>
          <w:rFonts w:ascii="Arial" w:hAnsi="Arial" w:cs="Arial"/>
          <w:sz w:val="22"/>
          <w:szCs w:val="22"/>
        </w:rPr>
        <w:t>State Budget Director Dan Haug announced today that net general revenue collections for February 2023 decreased 9.9 percent compared to those for February 2022, from $781.0 million last year to $703.5 million this year.</w:t>
      </w:r>
    </w:p>
    <w:p w:rsidR="00765D55" w:rsidRPr="00411B11" w:rsidRDefault="00765D55" w:rsidP="00765D55">
      <w:pPr>
        <w:ind w:firstLine="720"/>
        <w:rPr>
          <w:rFonts w:ascii="Arial" w:hAnsi="Arial" w:cs="Arial"/>
          <w:sz w:val="22"/>
          <w:szCs w:val="22"/>
        </w:rPr>
      </w:pPr>
    </w:p>
    <w:p w:rsidR="00765D55" w:rsidRPr="00411B11" w:rsidRDefault="00765D55" w:rsidP="00765D55">
      <w:pPr>
        <w:ind w:firstLine="720"/>
        <w:rPr>
          <w:rFonts w:ascii="Arial" w:hAnsi="Arial" w:cs="Arial"/>
          <w:sz w:val="22"/>
          <w:szCs w:val="22"/>
        </w:rPr>
      </w:pPr>
      <w:r w:rsidRPr="00411B11">
        <w:rPr>
          <w:rFonts w:ascii="Arial" w:hAnsi="Arial" w:cs="Arial"/>
          <w:sz w:val="22"/>
          <w:szCs w:val="22"/>
        </w:rPr>
        <w:t>Net general revenue collections for 2023 fiscal year-to-date increased 12.9 percent compared to February 2022, from $7.36 billion last year to $8.31 billion this year.</w:t>
      </w:r>
    </w:p>
    <w:p w:rsidR="00765D55" w:rsidRPr="00411B11" w:rsidRDefault="00765D55" w:rsidP="00765D55">
      <w:pPr>
        <w:ind w:firstLine="720"/>
        <w:rPr>
          <w:rFonts w:ascii="Arial" w:hAnsi="Arial" w:cs="Arial"/>
          <w:sz w:val="20"/>
          <w:szCs w:val="20"/>
        </w:rPr>
      </w:pPr>
    </w:p>
    <w:p w:rsidR="00765D55" w:rsidRPr="00411B11" w:rsidRDefault="00765D55" w:rsidP="00765D55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411B11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765D55" w:rsidRPr="00411B11" w:rsidRDefault="00765D55" w:rsidP="00765D55">
      <w:pPr>
        <w:rPr>
          <w:rFonts w:ascii="Arial" w:hAnsi="Arial" w:cs="Arial"/>
          <w:sz w:val="20"/>
          <w:szCs w:val="20"/>
        </w:rPr>
      </w:pPr>
    </w:p>
    <w:p w:rsidR="00765D55" w:rsidRPr="00411B11" w:rsidRDefault="00765D55" w:rsidP="00765D55">
      <w:pPr>
        <w:keepNext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411B11">
        <w:rPr>
          <w:rFonts w:ascii="Arial" w:hAnsi="Arial" w:cs="Arial"/>
          <w:b/>
          <w:bCs/>
          <w:sz w:val="20"/>
          <w:szCs w:val="20"/>
          <w:u w:val="single"/>
        </w:rPr>
        <w:t>Individual income tax collections</w:t>
      </w:r>
    </w:p>
    <w:p w:rsidR="00765D55" w:rsidRPr="00411B11" w:rsidRDefault="00765D55" w:rsidP="00765D5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>Increased 12.4 percent for the year, from $5.39 billion last year to $6.07 billion this year.</w:t>
      </w:r>
    </w:p>
    <w:p w:rsidR="00765D55" w:rsidRPr="00411B11" w:rsidRDefault="00765D55" w:rsidP="00765D5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>Decreased 0.8 percent for the month.</w:t>
      </w:r>
    </w:p>
    <w:p w:rsidR="00765D55" w:rsidRPr="00411B11" w:rsidRDefault="00765D55" w:rsidP="00765D55">
      <w:pPr>
        <w:rPr>
          <w:rFonts w:ascii="Arial" w:hAnsi="Arial" w:cs="Arial"/>
          <w:sz w:val="20"/>
          <w:szCs w:val="20"/>
        </w:rPr>
      </w:pPr>
    </w:p>
    <w:p w:rsidR="00765D55" w:rsidRPr="00411B11" w:rsidRDefault="00765D55" w:rsidP="00765D55">
      <w:pPr>
        <w:keepNext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411B11">
        <w:rPr>
          <w:rFonts w:ascii="Arial" w:hAnsi="Arial" w:cs="Arial"/>
          <w:b/>
          <w:bCs/>
          <w:sz w:val="20"/>
          <w:szCs w:val="20"/>
          <w:u w:val="single"/>
        </w:rPr>
        <w:t>Sales and use tax collections</w:t>
      </w:r>
    </w:p>
    <w:p w:rsidR="00765D55" w:rsidRPr="00411B11" w:rsidRDefault="00765D55" w:rsidP="00765D5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>Increased 9.2 percent for the year, from $1.82 billion last year to $1.98 billion this year.</w:t>
      </w:r>
    </w:p>
    <w:p w:rsidR="00765D55" w:rsidRPr="00411B11" w:rsidRDefault="00765D55" w:rsidP="00765D5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 xml:space="preserve">Increased 2.5 percent for the month.  </w:t>
      </w:r>
    </w:p>
    <w:p w:rsidR="00765D55" w:rsidRPr="00411B11" w:rsidRDefault="00765D55" w:rsidP="00765D55">
      <w:pPr>
        <w:rPr>
          <w:rFonts w:ascii="Arial" w:hAnsi="Arial" w:cs="Arial"/>
          <w:sz w:val="20"/>
          <w:szCs w:val="20"/>
        </w:rPr>
      </w:pPr>
    </w:p>
    <w:p w:rsidR="00765D55" w:rsidRPr="00411B11" w:rsidRDefault="00765D55" w:rsidP="00765D55">
      <w:pPr>
        <w:keepNext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411B11">
        <w:rPr>
          <w:rFonts w:ascii="Arial" w:hAnsi="Arial" w:cs="Arial"/>
          <w:b/>
          <w:bCs/>
          <w:sz w:val="20"/>
          <w:szCs w:val="20"/>
          <w:u w:val="single"/>
        </w:rPr>
        <w:t>Corporate income and corporate franchise tax collections</w:t>
      </w:r>
    </w:p>
    <w:p w:rsidR="00765D55" w:rsidRPr="00411B11" w:rsidRDefault="00765D55" w:rsidP="00765D5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>Increased 20.2 percent for the year, from $469.1 million last year to $563.7 million this year.</w:t>
      </w:r>
    </w:p>
    <w:p w:rsidR="00765D55" w:rsidRPr="00411B11" w:rsidRDefault="00765D55" w:rsidP="00765D5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>Decreased 13.9 percent for the month.</w:t>
      </w:r>
    </w:p>
    <w:p w:rsidR="00765D55" w:rsidRPr="00411B11" w:rsidRDefault="00765D55" w:rsidP="00765D55">
      <w:pPr>
        <w:rPr>
          <w:rFonts w:ascii="Arial" w:hAnsi="Arial" w:cs="Arial"/>
          <w:sz w:val="20"/>
          <w:szCs w:val="20"/>
        </w:rPr>
      </w:pPr>
    </w:p>
    <w:p w:rsidR="00765D55" w:rsidRPr="00411B11" w:rsidRDefault="00765D55" w:rsidP="00765D55">
      <w:pPr>
        <w:keepNext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411B11">
        <w:rPr>
          <w:rFonts w:ascii="Arial" w:hAnsi="Arial" w:cs="Arial"/>
          <w:b/>
          <w:bCs/>
          <w:sz w:val="20"/>
          <w:szCs w:val="20"/>
          <w:u w:val="single"/>
        </w:rPr>
        <w:t>All other collections</w:t>
      </w:r>
    </w:p>
    <w:p w:rsidR="00765D55" w:rsidRPr="00411B11" w:rsidRDefault="00765D55" w:rsidP="00765D5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>Increased 42.0 percent for the year, from $300.2 million last year to $426.4 million this year.</w:t>
      </w:r>
    </w:p>
    <w:p w:rsidR="00765D55" w:rsidRPr="00411B11" w:rsidRDefault="00765D55" w:rsidP="00765D5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>Increased 96.8 percent for the month.</w:t>
      </w:r>
    </w:p>
    <w:p w:rsidR="00765D55" w:rsidRPr="00411B11" w:rsidRDefault="00765D55" w:rsidP="00765D55">
      <w:pPr>
        <w:rPr>
          <w:rFonts w:ascii="Arial" w:hAnsi="Arial" w:cs="Arial"/>
          <w:sz w:val="20"/>
          <w:szCs w:val="20"/>
        </w:rPr>
      </w:pPr>
    </w:p>
    <w:p w:rsidR="00765D55" w:rsidRPr="00411B11" w:rsidRDefault="00765D55" w:rsidP="00765D55">
      <w:pPr>
        <w:keepNext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411B11">
        <w:rPr>
          <w:rFonts w:ascii="Arial" w:hAnsi="Arial" w:cs="Arial"/>
          <w:b/>
          <w:bCs/>
          <w:sz w:val="20"/>
          <w:szCs w:val="20"/>
          <w:u w:val="single"/>
        </w:rPr>
        <w:t>Refunds</w:t>
      </w:r>
    </w:p>
    <w:p w:rsidR="00765D55" w:rsidRPr="00411B11" w:rsidRDefault="00765D55" w:rsidP="00765D5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 xml:space="preserve">Increased 17.7 percent for the year, from $620.8 million last year to $731.0 million this year. </w:t>
      </w:r>
    </w:p>
    <w:p w:rsidR="00765D55" w:rsidRPr="00411B11" w:rsidRDefault="00765D55" w:rsidP="00765D5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1B11">
        <w:rPr>
          <w:rFonts w:ascii="Arial" w:hAnsi="Arial" w:cs="Arial"/>
          <w:sz w:val="20"/>
          <w:szCs w:val="20"/>
        </w:rPr>
        <w:t xml:space="preserve">Increased 48.5 percent for the month. </w:t>
      </w:r>
    </w:p>
    <w:p w:rsidR="00411B11" w:rsidRDefault="00411B11" w:rsidP="00765D55">
      <w:pPr>
        <w:rPr>
          <w:rFonts w:ascii="Arial" w:hAnsi="Arial" w:cs="Arial"/>
          <w:sz w:val="20"/>
          <w:szCs w:val="20"/>
        </w:rPr>
      </w:pPr>
    </w:p>
    <w:p w:rsidR="00765D55" w:rsidRPr="00411B11" w:rsidRDefault="00765D55" w:rsidP="00765D55">
      <w:pPr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411B11">
        <w:rPr>
          <w:rFonts w:ascii="Arial" w:hAnsi="Arial" w:cs="Arial"/>
          <w:i/>
          <w:iCs/>
          <w:sz w:val="20"/>
          <w:szCs w:val="20"/>
        </w:rPr>
        <w:t>The growth rate for individual income tax is artificially low due to an individual fraud scheme</w:t>
      </w:r>
      <w:r w:rsidR="00411B11" w:rsidRPr="00411B11">
        <w:rPr>
          <w:rFonts w:ascii="Arial" w:hAnsi="Arial" w:cs="Arial"/>
          <w:i/>
          <w:iCs/>
          <w:sz w:val="20"/>
          <w:szCs w:val="20"/>
        </w:rPr>
        <w:t xml:space="preserve"> that attempted to make fake income tax payments from fake bank accounts with the intent to trigger a refund in the Department of Revenue’s payment system.  </w:t>
      </w:r>
      <w:r w:rsidRPr="00411B11">
        <w:rPr>
          <w:rFonts w:ascii="Arial" w:hAnsi="Arial" w:cs="Arial"/>
          <w:i/>
          <w:iCs/>
          <w:sz w:val="20"/>
          <w:szCs w:val="20"/>
        </w:rPr>
        <w:t>The fraudulent payments made in January were reversed during February 2023.</w:t>
      </w:r>
      <w:r w:rsidR="00411B11" w:rsidRPr="00411B11">
        <w:rPr>
          <w:rFonts w:ascii="Arial" w:hAnsi="Arial" w:cs="Arial"/>
          <w:i/>
          <w:iCs/>
          <w:sz w:val="20"/>
          <w:szCs w:val="20"/>
        </w:rPr>
        <w:t xml:space="preserve"> The Department of Revenue’s Taxation Division confirmed that no Missouri taxpayer money was lost.  This fraudulent scheme was reported to law enforcement. </w:t>
      </w:r>
    </w:p>
    <w:p w:rsidR="00765D55" w:rsidRPr="00411B11" w:rsidRDefault="00765D55" w:rsidP="00765D55">
      <w:pPr>
        <w:rPr>
          <w:rFonts w:ascii="Arial" w:hAnsi="Arial" w:cs="Arial"/>
          <w:i/>
          <w:iCs/>
          <w:sz w:val="20"/>
          <w:szCs w:val="20"/>
        </w:rPr>
      </w:pPr>
    </w:p>
    <w:p w:rsidR="008F70AA" w:rsidRPr="00411B11" w:rsidRDefault="00765D55" w:rsidP="00C3160F">
      <w:pPr>
        <w:rPr>
          <w:rFonts w:ascii="Arial" w:hAnsi="Arial" w:cs="Arial"/>
          <w:i/>
          <w:iCs/>
          <w:sz w:val="20"/>
          <w:szCs w:val="20"/>
        </w:rPr>
      </w:pPr>
      <w:r w:rsidRPr="00411B11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:rsidR="00411B11" w:rsidRPr="00E67093" w:rsidRDefault="00411B11" w:rsidP="00C3160F">
      <w:pPr>
        <w:rPr>
          <w:rFonts w:ascii="Arial" w:hAnsi="Arial" w:cs="Arial"/>
          <w:sz w:val="22"/>
          <w:szCs w:val="22"/>
        </w:rPr>
      </w:pPr>
    </w:p>
    <w:p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1B11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5D55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DF2A74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11B11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411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2023-03-03T23:18:00Z</dcterms:created>
  <dcterms:modified xsi:type="dcterms:W3CDTF">2023-03-03T23:18:00Z</dcterms:modified>
</cp:coreProperties>
</file>