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AC12A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May</w:t>
      </w:r>
      <w:r w:rsidR="0069692F">
        <w:rPr>
          <w:b/>
          <w:bCs/>
        </w:rPr>
        <w:t xml:space="preserve"> </w:t>
      </w:r>
      <w:r w:rsidR="00DF66E8">
        <w:rPr>
          <w:b/>
          <w:bCs/>
        </w:rPr>
        <w:t>3</w:t>
      </w:r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AC12A1" w:rsidRDefault="00AC12A1" w:rsidP="00AC12A1">
      <w:pPr>
        <w:jc w:val="center"/>
        <w:rPr>
          <w:rFonts w:ascii="Arial" w:hAnsi="Arial" w:cs="Arial"/>
          <w:b/>
          <w:bCs/>
          <w:sz w:val="28"/>
        </w:rPr>
      </w:pPr>
    </w:p>
    <w:p w:rsidR="00AC12A1" w:rsidRPr="00AC12A1" w:rsidRDefault="00AC12A1" w:rsidP="00AC12A1">
      <w:pPr>
        <w:jc w:val="center"/>
        <w:rPr>
          <w:rFonts w:ascii="Arial" w:hAnsi="Arial" w:cs="Arial"/>
        </w:rPr>
      </w:pPr>
      <w:r w:rsidRPr="00AC12A1">
        <w:rPr>
          <w:rFonts w:ascii="Arial" w:hAnsi="Arial" w:cs="Arial"/>
          <w:b/>
          <w:bCs/>
          <w:sz w:val="28"/>
        </w:rPr>
        <w:t>State Releases April 2023 General Revenue Report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ind w:firstLine="720"/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State Budget Director Dan Haug announced today that net general revenue collections for April 2023 declined (14.2) percent compared to those for April 2022, from $1.34 billion last year to $1.15 billion this year.</w:t>
      </w:r>
    </w:p>
    <w:p w:rsidR="00AC12A1" w:rsidRPr="00AC12A1" w:rsidRDefault="00AC12A1" w:rsidP="00AC12A1">
      <w:pPr>
        <w:ind w:firstLine="720"/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ind w:firstLine="720"/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Net general revenue collections for 2023 fiscal year-to-date increased 8.2 percent compared to April 2022, from $9.63 billion last year to $10.42 billion this year.</w:t>
      </w:r>
    </w:p>
    <w:p w:rsidR="00AC12A1" w:rsidRPr="00AC12A1" w:rsidRDefault="00AC12A1" w:rsidP="00AC12A1">
      <w:pPr>
        <w:ind w:firstLine="720"/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AC12A1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C12A1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AC12A1" w:rsidRPr="00AC12A1" w:rsidRDefault="00AC12A1" w:rsidP="00AC12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7.8 percent for the year, from $7.39 billion last year to $7.96 billion this year.</w:t>
      </w:r>
    </w:p>
    <w:p w:rsidR="00AC12A1" w:rsidRPr="00AC12A1" w:rsidRDefault="00AC12A1" w:rsidP="00AC12A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Decreased 10.2 percent for the month.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C12A1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AC12A1" w:rsidRPr="00AC12A1" w:rsidRDefault="00AC12A1" w:rsidP="00AC12A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6.8 percent for the year, from $2.27 billion last year to $2.42 billion this year.</w:t>
      </w:r>
    </w:p>
    <w:p w:rsidR="00AC12A1" w:rsidRPr="00AC12A1" w:rsidRDefault="00AC12A1" w:rsidP="00AC12A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 xml:space="preserve">Decreased 3.4 percent for the month.  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C12A1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AC12A1" w:rsidRPr="00AC12A1" w:rsidRDefault="00AC12A1" w:rsidP="00AC12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19.0 percent for the year, from $668.1 million last year to $795.2 million this year.</w:t>
      </w:r>
    </w:p>
    <w:p w:rsidR="00AC12A1" w:rsidRPr="00AC12A1" w:rsidRDefault="00AC12A1" w:rsidP="00AC12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7.2 percent for the month.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C12A1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AC12A1" w:rsidRPr="00AC12A1" w:rsidRDefault="00AC12A1" w:rsidP="00AC12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37.8 percent for the year, from $460.5 million last year to $634.6 million this year.</w:t>
      </w:r>
    </w:p>
    <w:p w:rsidR="00AC12A1" w:rsidRPr="00AC12A1" w:rsidRDefault="00AC12A1" w:rsidP="00AC12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>Increased 19.4 percent for the month.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Pr="00AC12A1" w:rsidRDefault="00AC12A1" w:rsidP="00AC12A1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AC12A1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AC12A1" w:rsidRPr="00AC12A1" w:rsidRDefault="00AC12A1" w:rsidP="00AC12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 xml:space="preserve">Increased 20.8 percent for the year, from $1.16 billion last year to $1.40 billion this year. </w:t>
      </w:r>
    </w:p>
    <w:p w:rsidR="00AC12A1" w:rsidRPr="00AC12A1" w:rsidRDefault="00AC12A1" w:rsidP="00AC12A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sz w:val="22"/>
          <w:szCs w:val="22"/>
        </w:rPr>
        <w:t xml:space="preserve">Increased 34.0 percent for the month. 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AC12A1" w:rsidRDefault="00AC12A1" w:rsidP="00AC12A1">
      <w:pPr>
        <w:rPr>
          <w:rFonts w:ascii="Arial" w:hAnsi="Arial" w:cs="Arial"/>
          <w:i/>
          <w:iCs/>
        </w:rPr>
      </w:pP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  <w:r w:rsidRPr="00AC12A1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AC12A1" w:rsidRPr="00AC12A1" w:rsidRDefault="00AC12A1" w:rsidP="00AC12A1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74A2D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2A1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2023-05-01T17:28:00Z</dcterms:created>
  <dcterms:modified xsi:type="dcterms:W3CDTF">2023-05-01T17:28:00Z</dcterms:modified>
</cp:coreProperties>
</file>