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3" w:rsidRDefault="001D7B63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Single Feasible Source Purchase</w:t>
      </w:r>
    </w:p>
    <w:p w:rsidR="001D7B63" w:rsidRDefault="001D7B63">
      <w:pPr>
        <w:rPr>
          <w:rFonts w:ascii="Arial" w:hAnsi="Arial"/>
          <w:sz w:val="28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1D7B63" w:rsidTr="007B5CAC">
        <w:tc>
          <w:tcPr>
            <w:tcW w:w="2268" w:type="dxa"/>
          </w:tcPr>
          <w:p w:rsidR="001D7B63" w:rsidRDefault="001D7B6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</w:p>
        </w:tc>
        <w:tc>
          <w:tcPr>
            <w:tcW w:w="8010" w:type="dxa"/>
          </w:tcPr>
          <w:p w:rsidR="001D7B63" w:rsidRPr="0059322A" w:rsidRDefault="005D4CED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Adult Hemoglobinopathy (Sickle Cell) Resource Center Services</w:t>
            </w:r>
          </w:p>
        </w:tc>
      </w:tr>
      <w:tr w:rsidR="001D7B63" w:rsidTr="007B5CAC">
        <w:tc>
          <w:tcPr>
            <w:tcW w:w="10278" w:type="dxa"/>
            <w:gridSpan w:val="2"/>
          </w:tcPr>
          <w:p w:rsidR="001D7B63" w:rsidRPr="0059322A" w:rsidRDefault="001D7B63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1D7B63" w:rsidTr="007B5CAC">
        <w:trPr>
          <w:trHeight w:val="1575"/>
        </w:trPr>
        <w:tc>
          <w:tcPr>
            <w:tcW w:w="2268" w:type="dxa"/>
          </w:tcPr>
          <w:p w:rsidR="001D7B63" w:rsidRDefault="001D7B6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Description:</w:t>
            </w:r>
          </w:p>
        </w:tc>
        <w:tc>
          <w:tcPr>
            <w:tcW w:w="8010" w:type="dxa"/>
          </w:tcPr>
          <w:p w:rsidR="007B5CAC" w:rsidRPr="0059322A" w:rsidRDefault="007B5CAC" w:rsidP="005967D1">
            <w:pPr>
              <w:ind w:right="-198"/>
              <w:rPr>
                <w:rFonts w:ascii="Arial" w:hAnsi="Arial" w:cs="Arial"/>
                <w:bCs/>
                <w:sz w:val="27"/>
                <w:szCs w:val="27"/>
              </w:rPr>
            </w:pPr>
            <w:r w:rsidRPr="0059322A">
              <w:rPr>
                <w:rFonts w:ascii="Arial" w:hAnsi="Arial" w:cs="Arial"/>
                <w:bCs/>
                <w:sz w:val="27"/>
                <w:szCs w:val="27"/>
              </w:rPr>
              <w:t xml:space="preserve">To provide comprehensive Adult Hemoglobinopathy (sickle cell) services through a Comprehensive Resource Center (providing services to individuals age 21 and over) with the goal of reducing the burden of chronic disease among Missouri’s adult population.  </w:t>
            </w:r>
          </w:p>
          <w:p w:rsidR="007B5CAC" w:rsidRPr="0059322A" w:rsidRDefault="007B5CAC" w:rsidP="005967D1">
            <w:pPr>
              <w:ind w:right="-198"/>
              <w:rPr>
                <w:rFonts w:ascii="Arial" w:hAnsi="Arial" w:cs="Arial"/>
                <w:bCs/>
                <w:sz w:val="27"/>
                <w:szCs w:val="27"/>
              </w:rPr>
            </w:pPr>
          </w:p>
          <w:p w:rsidR="007B5CAC" w:rsidRPr="0059322A" w:rsidRDefault="007B5CAC" w:rsidP="005967D1">
            <w:pPr>
              <w:ind w:right="-198"/>
              <w:rPr>
                <w:rFonts w:ascii="Arial" w:hAnsi="Arial" w:cs="Arial"/>
                <w:bCs/>
                <w:sz w:val="27"/>
                <w:szCs w:val="27"/>
              </w:rPr>
            </w:pPr>
            <w:r w:rsidRPr="0059322A">
              <w:rPr>
                <w:rFonts w:ascii="Arial" w:hAnsi="Arial" w:cs="Arial"/>
                <w:bCs/>
                <w:sz w:val="27"/>
                <w:szCs w:val="27"/>
              </w:rPr>
              <w:t xml:space="preserve">The </w:t>
            </w:r>
            <w:r w:rsidR="00214E04">
              <w:rPr>
                <w:rFonts w:ascii="Arial" w:hAnsi="Arial" w:cs="Arial"/>
                <w:bCs/>
                <w:sz w:val="27"/>
                <w:szCs w:val="27"/>
              </w:rPr>
              <w:t>two</w:t>
            </w:r>
            <w:r w:rsidRPr="0059322A">
              <w:rPr>
                <w:rFonts w:ascii="Arial" w:hAnsi="Arial" w:cs="Arial"/>
                <w:bCs/>
                <w:sz w:val="27"/>
                <w:szCs w:val="27"/>
              </w:rPr>
              <w:t xml:space="preserve"> organizations listed below are considered a single feasible source due to the fact that through past procurements, it has been determined that the organizations listed are the only organizations in </w:t>
            </w:r>
            <w:r w:rsidR="00214E04">
              <w:rPr>
                <w:rFonts w:ascii="Arial" w:hAnsi="Arial" w:cs="Arial"/>
                <w:bCs/>
                <w:sz w:val="27"/>
                <w:szCs w:val="27"/>
              </w:rPr>
              <w:t>the applicable region</w:t>
            </w:r>
            <w:r w:rsidRPr="0059322A">
              <w:rPr>
                <w:rFonts w:ascii="Arial" w:hAnsi="Arial" w:cs="Arial"/>
                <w:bCs/>
                <w:sz w:val="27"/>
                <w:szCs w:val="27"/>
              </w:rPr>
              <w:t xml:space="preserve"> located </w:t>
            </w:r>
            <w:r w:rsidR="00214E04">
              <w:rPr>
                <w:rFonts w:ascii="Arial" w:hAnsi="Arial" w:cs="Arial"/>
                <w:bCs/>
                <w:sz w:val="27"/>
                <w:szCs w:val="27"/>
              </w:rPr>
              <w:t>in</w:t>
            </w:r>
            <w:r w:rsidRPr="0059322A">
              <w:rPr>
                <w:rFonts w:ascii="Arial" w:hAnsi="Arial" w:cs="Arial"/>
                <w:bCs/>
                <w:sz w:val="27"/>
                <w:szCs w:val="27"/>
              </w:rPr>
              <w:t xml:space="preserve"> the state</w:t>
            </w:r>
            <w:r w:rsidR="00030D84" w:rsidRPr="0059322A">
              <w:rPr>
                <w:rFonts w:ascii="Arial" w:hAnsi="Arial" w:cs="Arial"/>
                <w:bCs/>
                <w:sz w:val="27"/>
                <w:szCs w:val="27"/>
              </w:rPr>
              <w:t xml:space="preserve"> (one organization </w:t>
            </w:r>
            <w:r w:rsidR="00214E04">
              <w:rPr>
                <w:rFonts w:ascii="Arial" w:hAnsi="Arial" w:cs="Arial"/>
                <w:bCs/>
                <w:sz w:val="27"/>
                <w:szCs w:val="27"/>
              </w:rPr>
              <w:t>per</w:t>
            </w:r>
            <w:r w:rsidR="00030D84" w:rsidRPr="0059322A">
              <w:rPr>
                <w:rFonts w:ascii="Arial" w:hAnsi="Arial" w:cs="Arial"/>
                <w:bCs/>
                <w:sz w:val="27"/>
                <w:szCs w:val="27"/>
              </w:rPr>
              <w:t xml:space="preserve"> region) </w:t>
            </w:r>
            <w:r w:rsidRPr="0059322A">
              <w:rPr>
                <w:rFonts w:ascii="Arial" w:hAnsi="Arial" w:cs="Arial"/>
                <w:bCs/>
                <w:sz w:val="27"/>
                <w:szCs w:val="27"/>
              </w:rPr>
              <w:t xml:space="preserve">that provide the necessary services.  </w:t>
            </w:r>
          </w:p>
          <w:p w:rsidR="001D7B63" w:rsidRPr="0059322A" w:rsidRDefault="001D7B63" w:rsidP="005967D1">
            <w:pPr>
              <w:pStyle w:val="Header"/>
              <w:tabs>
                <w:tab w:val="clear" w:pos="4320"/>
                <w:tab w:val="left" w:pos="1080"/>
                <w:tab w:val="center" w:pos="4680"/>
                <w:tab w:val="center" w:pos="5400"/>
                <w:tab w:val="center" w:pos="8400"/>
              </w:tabs>
              <w:rPr>
                <w:rFonts w:ascii="Arial" w:hAnsi="Arial"/>
                <w:sz w:val="27"/>
                <w:szCs w:val="27"/>
              </w:rPr>
            </w:pP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9751F4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Contract Period:</w:t>
            </w:r>
          </w:p>
        </w:tc>
        <w:tc>
          <w:tcPr>
            <w:tcW w:w="8010" w:type="dxa"/>
          </w:tcPr>
          <w:p w:rsidR="00180F47" w:rsidRPr="0059322A" w:rsidRDefault="00214E04" w:rsidP="008079B1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June 1, 2017</w:t>
            </w:r>
            <w:r w:rsidR="0001774D" w:rsidRPr="0059322A">
              <w:rPr>
                <w:rFonts w:ascii="Arial" w:hAnsi="Arial"/>
                <w:sz w:val="27"/>
                <w:szCs w:val="27"/>
              </w:rPr>
              <w:t xml:space="preserve"> through May 31, 201</w:t>
            </w:r>
            <w:r>
              <w:rPr>
                <w:rFonts w:ascii="Arial" w:hAnsi="Arial"/>
                <w:sz w:val="27"/>
                <w:szCs w:val="27"/>
              </w:rPr>
              <w:t>8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Pr="0059322A" w:rsidRDefault="00180F47" w:rsidP="00803771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 w:rsidP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Renewal Options:</w:t>
            </w:r>
          </w:p>
        </w:tc>
        <w:tc>
          <w:tcPr>
            <w:tcW w:w="8010" w:type="dxa"/>
          </w:tcPr>
          <w:p w:rsidR="00180F47" w:rsidRPr="0059322A" w:rsidRDefault="00214E04" w:rsidP="00803771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Two,</w:t>
            </w:r>
            <w:r w:rsidR="00504810" w:rsidRPr="0059322A">
              <w:rPr>
                <w:rFonts w:ascii="Arial" w:hAnsi="Arial"/>
                <w:sz w:val="27"/>
                <w:szCs w:val="27"/>
              </w:rPr>
              <w:t xml:space="preserve"> 1-Year Renewals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Agency:</w:t>
            </w:r>
          </w:p>
        </w:tc>
        <w:tc>
          <w:tcPr>
            <w:tcW w:w="8010" w:type="dxa"/>
          </w:tcPr>
          <w:p w:rsidR="00180F47" w:rsidRPr="0059322A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Department of Health and Senior Services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9751F4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Supplier:</w:t>
            </w:r>
          </w:p>
        </w:tc>
        <w:tc>
          <w:tcPr>
            <w:tcW w:w="8010" w:type="dxa"/>
          </w:tcPr>
          <w:p w:rsidR="00180F47" w:rsidRPr="0059322A" w:rsidRDefault="0059322A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Truman Medical Center</w:t>
            </w:r>
          </w:p>
          <w:p w:rsidR="0059322A" w:rsidRDefault="0059322A">
            <w:pPr>
              <w:rPr>
                <w:rFonts w:ascii="Arial" w:hAnsi="Arial"/>
                <w:sz w:val="28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Washington University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9751F4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Buyer:</w:t>
            </w:r>
          </w:p>
        </w:tc>
        <w:tc>
          <w:tcPr>
            <w:tcW w:w="8010" w:type="dxa"/>
          </w:tcPr>
          <w:p w:rsidR="00180F47" w:rsidRPr="0059322A" w:rsidRDefault="00214E04" w:rsidP="00180F47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Leslie Kemna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Phone No:</w:t>
            </w:r>
          </w:p>
        </w:tc>
        <w:tc>
          <w:tcPr>
            <w:tcW w:w="8010" w:type="dxa"/>
          </w:tcPr>
          <w:p w:rsidR="00180F47" w:rsidRPr="0059322A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573-</w:t>
            </w:r>
            <w:r w:rsidR="0067404A" w:rsidRPr="0059322A">
              <w:rPr>
                <w:rFonts w:ascii="Arial" w:hAnsi="Arial"/>
                <w:sz w:val="27"/>
                <w:szCs w:val="27"/>
              </w:rPr>
              <w:t>751-</w:t>
            </w:r>
            <w:r w:rsidR="00214E04">
              <w:rPr>
                <w:rFonts w:ascii="Arial" w:hAnsi="Arial"/>
                <w:sz w:val="27"/>
                <w:szCs w:val="27"/>
              </w:rPr>
              <w:t>4887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E-Mail:</w:t>
            </w:r>
          </w:p>
        </w:tc>
        <w:tc>
          <w:tcPr>
            <w:tcW w:w="8010" w:type="dxa"/>
          </w:tcPr>
          <w:p w:rsidR="00180F47" w:rsidRPr="0059322A" w:rsidRDefault="001B62C5" w:rsidP="00214E04">
            <w:pPr>
              <w:rPr>
                <w:rFonts w:ascii="Arial" w:hAnsi="Arial"/>
                <w:sz w:val="27"/>
                <w:szCs w:val="27"/>
              </w:rPr>
            </w:pPr>
            <w:hyperlink r:id="rId6" w:history="1">
              <w:r w:rsidR="00214E04" w:rsidRPr="00197E2D">
                <w:rPr>
                  <w:rStyle w:val="Hyperlink"/>
                  <w:rFonts w:ascii="Arial" w:hAnsi="Arial"/>
                  <w:sz w:val="27"/>
                  <w:szCs w:val="27"/>
                </w:rPr>
                <w:t>leslie.kemna@oa.mo.gov</w:t>
              </w:r>
            </w:hyperlink>
            <w:r w:rsidR="00504810" w:rsidRPr="0059322A">
              <w:rPr>
                <w:rFonts w:ascii="Arial" w:hAnsi="Arial"/>
                <w:sz w:val="27"/>
                <w:szCs w:val="27"/>
              </w:rPr>
              <w:t xml:space="preserve"> 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Advertising Required:</w:t>
            </w:r>
          </w:p>
        </w:tc>
        <w:tc>
          <w:tcPr>
            <w:tcW w:w="8010" w:type="dxa"/>
          </w:tcPr>
          <w:p w:rsidR="00180F47" w:rsidRPr="0059322A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Yes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Requisition No.:</w:t>
            </w:r>
          </w:p>
        </w:tc>
        <w:tc>
          <w:tcPr>
            <w:tcW w:w="8010" w:type="dxa"/>
          </w:tcPr>
          <w:p w:rsidR="00180F47" w:rsidRPr="0059322A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NR 580 410</w:t>
            </w:r>
            <w:r w:rsidR="00214E04">
              <w:rPr>
                <w:rFonts w:ascii="Arial" w:hAnsi="Arial"/>
                <w:sz w:val="27"/>
                <w:szCs w:val="27"/>
              </w:rPr>
              <w:t>31700514</w:t>
            </w:r>
          </w:p>
          <w:p w:rsidR="0059322A" w:rsidRPr="00214E04" w:rsidRDefault="00214E04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NR 580 41031700515</w:t>
            </w:r>
          </w:p>
        </w:tc>
      </w:tr>
      <w:tr w:rsidR="00495404" w:rsidTr="007B5CAC">
        <w:tc>
          <w:tcPr>
            <w:tcW w:w="10278" w:type="dxa"/>
            <w:gridSpan w:val="2"/>
          </w:tcPr>
          <w:p w:rsidR="00495404" w:rsidRPr="00582B0D" w:rsidRDefault="00495404" w:rsidP="006F2E6D">
            <w:pPr>
              <w:rPr>
                <w:rFonts w:ascii="Arial" w:hAnsi="Arial"/>
                <w:i/>
                <w:sz w:val="28"/>
              </w:rPr>
            </w:pPr>
          </w:p>
        </w:tc>
      </w:tr>
      <w:tr w:rsidR="00495404" w:rsidTr="007B5CAC">
        <w:tc>
          <w:tcPr>
            <w:tcW w:w="2268" w:type="dxa"/>
          </w:tcPr>
          <w:p w:rsidR="00495404" w:rsidRDefault="00495404" w:rsidP="0049540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SFS No.:</w:t>
            </w:r>
          </w:p>
        </w:tc>
        <w:tc>
          <w:tcPr>
            <w:tcW w:w="8010" w:type="dxa"/>
          </w:tcPr>
          <w:p w:rsidR="00495404" w:rsidRPr="0059322A" w:rsidRDefault="00214E04" w:rsidP="006F2E6D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SFSS30034901701242</w:t>
            </w:r>
          </w:p>
        </w:tc>
      </w:tr>
    </w:tbl>
    <w:p w:rsidR="001D7B63" w:rsidRDefault="001D7B63" w:rsidP="00504810">
      <w:pPr>
        <w:tabs>
          <w:tab w:val="left" w:pos="2160"/>
          <w:tab w:val="left" w:pos="4860"/>
          <w:tab w:val="left" w:pos="5940"/>
        </w:tabs>
        <w:spacing w:line="360" w:lineRule="auto"/>
        <w:rPr>
          <w:rFonts w:ascii="Arial" w:hAnsi="Arial"/>
          <w:color w:val="000000"/>
          <w:sz w:val="28"/>
        </w:rPr>
      </w:pPr>
    </w:p>
    <w:sectPr w:rsidR="001D7B63" w:rsidSect="005E24CE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1"/>
    <w:rsid w:val="0001774D"/>
    <w:rsid w:val="00030D84"/>
    <w:rsid w:val="0004564B"/>
    <w:rsid w:val="00180F47"/>
    <w:rsid w:val="001B62C5"/>
    <w:rsid w:val="001D7B63"/>
    <w:rsid w:val="00214E04"/>
    <w:rsid w:val="0022407F"/>
    <w:rsid w:val="00266580"/>
    <w:rsid w:val="002B53F1"/>
    <w:rsid w:val="0030334F"/>
    <w:rsid w:val="003247B4"/>
    <w:rsid w:val="00495404"/>
    <w:rsid w:val="004E32E6"/>
    <w:rsid w:val="00504810"/>
    <w:rsid w:val="00582B0D"/>
    <w:rsid w:val="0059322A"/>
    <w:rsid w:val="005967D1"/>
    <w:rsid w:val="005D4CED"/>
    <w:rsid w:val="005E24CE"/>
    <w:rsid w:val="00631586"/>
    <w:rsid w:val="0067404A"/>
    <w:rsid w:val="00680931"/>
    <w:rsid w:val="006F2E6D"/>
    <w:rsid w:val="007B5CAC"/>
    <w:rsid w:val="00803771"/>
    <w:rsid w:val="008079B1"/>
    <w:rsid w:val="008861BE"/>
    <w:rsid w:val="008921E9"/>
    <w:rsid w:val="009460BE"/>
    <w:rsid w:val="00965255"/>
    <w:rsid w:val="009751F4"/>
    <w:rsid w:val="00A8761F"/>
    <w:rsid w:val="00AD52E0"/>
    <w:rsid w:val="00C95459"/>
    <w:rsid w:val="00D47534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0334F"/>
  </w:style>
  <w:style w:type="paragraph" w:styleId="BalloonText">
    <w:name w:val="Balloon Text"/>
    <w:basedOn w:val="Normal"/>
    <w:link w:val="BalloonTextChar"/>
    <w:rsid w:val="0049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04810"/>
    <w:pPr>
      <w:ind w:left="810"/>
    </w:pPr>
    <w:rPr>
      <w:rFonts w:ascii="Tahoma" w:hAnsi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04810"/>
    <w:rPr>
      <w:rFonts w:ascii="Tahoma" w:hAnsi="Tahoma"/>
      <w:sz w:val="22"/>
    </w:rPr>
  </w:style>
  <w:style w:type="paragraph" w:styleId="Header">
    <w:name w:val="header"/>
    <w:basedOn w:val="Normal"/>
    <w:link w:val="HeaderChar"/>
    <w:rsid w:val="00504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810"/>
  </w:style>
  <w:style w:type="character" w:styleId="Hyperlink">
    <w:name w:val="Hyperlink"/>
    <w:basedOn w:val="DefaultParagraphFont"/>
    <w:rsid w:val="00504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0334F"/>
  </w:style>
  <w:style w:type="paragraph" w:styleId="BalloonText">
    <w:name w:val="Balloon Text"/>
    <w:basedOn w:val="Normal"/>
    <w:link w:val="BalloonTextChar"/>
    <w:rsid w:val="0049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04810"/>
    <w:pPr>
      <w:ind w:left="810"/>
    </w:pPr>
    <w:rPr>
      <w:rFonts w:ascii="Tahoma" w:hAnsi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04810"/>
    <w:rPr>
      <w:rFonts w:ascii="Tahoma" w:hAnsi="Tahoma"/>
      <w:sz w:val="22"/>
    </w:rPr>
  </w:style>
  <w:style w:type="paragraph" w:styleId="Header">
    <w:name w:val="header"/>
    <w:basedOn w:val="Normal"/>
    <w:link w:val="HeaderChar"/>
    <w:rsid w:val="00504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810"/>
  </w:style>
  <w:style w:type="character" w:styleId="Hyperlink">
    <w:name w:val="Hyperlink"/>
    <w:basedOn w:val="DefaultParagraphFont"/>
    <w:rsid w:val="0050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lie.kemna@oa.m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DCBB-8080-49E0-9264-CEF631A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FEDEDDB4.dotm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Feasible Source Purchase</vt:lpstr>
    </vt:vector>
  </TitlesOfParts>
  <Company>State of Missouri</Company>
  <LinksUpToDate>false</LinksUpToDate>
  <CharactersWithSpaces>1146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mailto:Stacia.Dawson@oa.mo.gov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Feasible Source Purchase</dc:title>
  <dc:creator>Julie Kleffner</dc:creator>
  <cp:lastModifiedBy>temmed</cp:lastModifiedBy>
  <cp:revision>2</cp:revision>
  <cp:lastPrinted>2017-05-17T16:41:00Z</cp:lastPrinted>
  <dcterms:created xsi:type="dcterms:W3CDTF">2017-05-18T18:07:00Z</dcterms:created>
  <dcterms:modified xsi:type="dcterms:W3CDTF">2017-05-18T18:07:00Z</dcterms:modified>
</cp:coreProperties>
</file>