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63" w:rsidRDefault="001D7B63">
      <w:pPr>
        <w:jc w:val="center"/>
        <w:rPr>
          <w:rFonts w:ascii="Arial" w:hAnsi="Arial"/>
          <w:sz w:val="28"/>
        </w:rPr>
      </w:pPr>
      <w:bookmarkStart w:id="0" w:name="_GoBack"/>
      <w:bookmarkEnd w:id="0"/>
      <w:r>
        <w:rPr>
          <w:rFonts w:ascii="Arial" w:hAnsi="Arial"/>
          <w:b/>
          <w:sz w:val="28"/>
        </w:rPr>
        <w:t>Single Feasible Source Purchase</w:t>
      </w:r>
    </w:p>
    <w:p w:rsidR="001D7B63" w:rsidRDefault="001D7B63">
      <w:pPr>
        <w:rPr>
          <w:rFonts w:ascii="Arial" w:hAnsi="Arial"/>
          <w:sz w:val="28"/>
        </w:rPr>
      </w:pPr>
    </w:p>
    <w:tbl>
      <w:tblPr>
        <w:tblW w:w="10188" w:type="dxa"/>
        <w:tblLayout w:type="fixed"/>
        <w:tblLook w:val="0000" w:firstRow="0" w:lastRow="0" w:firstColumn="0" w:lastColumn="0" w:noHBand="0" w:noVBand="0"/>
      </w:tblPr>
      <w:tblGrid>
        <w:gridCol w:w="2268"/>
        <w:gridCol w:w="7920"/>
      </w:tblGrid>
      <w:tr w:rsidR="001D7B63">
        <w:tc>
          <w:tcPr>
            <w:tcW w:w="2268" w:type="dxa"/>
          </w:tcPr>
          <w:p w:rsidR="001D7B63" w:rsidRDefault="001D7B63">
            <w:pPr>
              <w:rPr>
                <w:rFonts w:ascii="Arial" w:hAnsi="Arial"/>
                <w:sz w:val="28"/>
              </w:rPr>
            </w:pPr>
            <w:r>
              <w:rPr>
                <w:rFonts w:ascii="Arial" w:hAnsi="Arial"/>
                <w:sz w:val="28"/>
              </w:rPr>
              <w:t>Title:</w:t>
            </w:r>
          </w:p>
        </w:tc>
        <w:tc>
          <w:tcPr>
            <w:tcW w:w="7920" w:type="dxa"/>
          </w:tcPr>
          <w:p w:rsidR="001D7B63" w:rsidRDefault="00A74DE9">
            <w:pPr>
              <w:rPr>
                <w:rFonts w:ascii="Arial" w:hAnsi="Arial"/>
                <w:sz w:val="28"/>
              </w:rPr>
            </w:pPr>
            <w:r>
              <w:rPr>
                <w:rFonts w:ascii="Arial" w:hAnsi="Arial"/>
                <w:sz w:val="28"/>
              </w:rPr>
              <w:t>Missouri ProStart School-to-Career Program Coordinator</w:t>
            </w:r>
          </w:p>
        </w:tc>
      </w:tr>
      <w:tr w:rsidR="001D7B63">
        <w:tc>
          <w:tcPr>
            <w:tcW w:w="10188" w:type="dxa"/>
            <w:gridSpan w:val="2"/>
          </w:tcPr>
          <w:p w:rsidR="001D7B63" w:rsidRDefault="001D7B63">
            <w:pPr>
              <w:rPr>
                <w:rFonts w:ascii="Arial" w:hAnsi="Arial"/>
                <w:sz w:val="28"/>
              </w:rPr>
            </w:pPr>
          </w:p>
        </w:tc>
      </w:tr>
      <w:tr w:rsidR="001D7B63">
        <w:trPr>
          <w:trHeight w:val="1575"/>
        </w:trPr>
        <w:tc>
          <w:tcPr>
            <w:tcW w:w="2268" w:type="dxa"/>
          </w:tcPr>
          <w:p w:rsidR="001D7B63" w:rsidRDefault="001D7B63">
            <w:pPr>
              <w:rPr>
                <w:rFonts w:ascii="Arial" w:hAnsi="Arial"/>
                <w:sz w:val="28"/>
              </w:rPr>
            </w:pPr>
            <w:r>
              <w:rPr>
                <w:rFonts w:ascii="Arial" w:hAnsi="Arial"/>
                <w:sz w:val="28"/>
              </w:rPr>
              <w:t>Description:</w:t>
            </w:r>
          </w:p>
        </w:tc>
        <w:tc>
          <w:tcPr>
            <w:tcW w:w="7920" w:type="dxa"/>
          </w:tcPr>
          <w:p w:rsidR="00A74DE9" w:rsidRPr="005F6214" w:rsidRDefault="00A74DE9" w:rsidP="00A74DE9">
            <w:pPr>
              <w:jc w:val="both"/>
              <w:rPr>
                <w:rFonts w:ascii="Arial" w:hAnsi="Arial" w:cs="Arial"/>
                <w:sz w:val="25"/>
                <w:szCs w:val="25"/>
              </w:rPr>
            </w:pPr>
            <w:r w:rsidRPr="005F6214">
              <w:rPr>
                <w:rFonts w:ascii="Arial" w:hAnsi="Arial"/>
                <w:sz w:val="25"/>
                <w:szCs w:val="25"/>
              </w:rPr>
              <w:t xml:space="preserve">The Missouri Restaurant </w:t>
            </w:r>
            <w:r w:rsidRPr="005F6214">
              <w:rPr>
                <w:rFonts w:ascii="Arial" w:hAnsi="Arial" w:cs="Arial"/>
                <w:sz w:val="25"/>
                <w:szCs w:val="25"/>
              </w:rPr>
              <w:t>Association shall house/host the Missouri ProStart School-to-Career Program Coordinator position for the purposes of coordinating and managing the activities of the ProStart Program in Missouri’s secondary and postsecondary culinary/food service/hospitality program.  The Missouri ProStart School-to-Career Program Coordinator will merge the recruitment and training interests of the hospitality industry in Missouri with the education, career and placement priorities of the education system, with the goal of attracting, training, and retaining, a competent workforce in the hospitability industry.</w:t>
            </w:r>
          </w:p>
          <w:p w:rsidR="00A74DE9" w:rsidRPr="005F6214" w:rsidRDefault="00A74DE9" w:rsidP="00A74DE9">
            <w:pPr>
              <w:jc w:val="both"/>
              <w:rPr>
                <w:rFonts w:ascii="Arial" w:hAnsi="Arial" w:cs="Arial"/>
                <w:sz w:val="25"/>
                <w:szCs w:val="25"/>
              </w:rPr>
            </w:pPr>
          </w:p>
          <w:p w:rsidR="001D7B63" w:rsidRDefault="00A74DE9" w:rsidP="00A74DE9">
            <w:pPr>
              <w:rPr>
                <w:rFonts w:ascii="Arial" w:hAnsi="Arial"/>
                <w:sz w:val="28"/>
              </w:rPr>
            </w:pPr>
            <w:r w:rsidRPr="005F6214">
              <w:rPr>
                <w:rFonts w:ascii="Arial" w:hAnsi="Arial" w:cs="Arial"/>
                <w:sz w:val="25"/>
                <w:szCs w:val="25"/>
              </w:rPr>
              <w:t>The National Restaurant Association is the sole sponsor of the ProStart Program on both state and national levels, and is mandated to work with the department of education in each state to further the implementation of the program nationwide.  The National Restaurant Association requires a partnership be formed between the National Restaurant Association’s state affiliate (Missouri Restaurant Association) and the state Department of Education.</w:t>
            </w:r>
          </w:p>
        </w:tc>
      </w:tr>
      <w:tr w:rsidR="00180F47">
        <w:tc>
          <w:tcPr>
            <w:tcW w:w="10188" w:type="dxa"/>
            <w:gridSpan w:val="2"/>
          </w:tcPr>
          <w:p w:rsidR="00180F47" w:rsidRDefault="00180F47" w:rsidP="009751F4">
            <w:pPr>
              <w:rPr>
                <w:rFonts w:ascii="Arial" w:hAnsi="Arial"/>
                <w:sz w:val="28"/>
              </w:rPr>
            </w:pPr>
          </w:p>
        </w:tc>
      </w:tr>
      <w:tr w:rsidR="00180F47" w:rsidTr="00803771">
        <w:tc>
          <w:tcPr>
            <w:tcW w:w="2268" w:type="dxa"/>
          </w:tcPr>
          <w:p w:rsidR="00180F47" w:rsidRDefault="00180F47" w:rsidP="00803771">
            <w:pPr>
              <w:rPr>
                <w:rFonts w:ascii="Arial" w:hAnsi="Arial"/>
                <w:sz w:val="28"/>
              </w:rPr>
            </w:pPr>
            <w:r>
              <w:rPr>
                <w:rFonts w:ascii="Arial" w:hAnsi="Arial"/>
                <w:sz w:val="28"/>
              </w:rPr>
              <w:t>Contract Period:</w:t>
            </w:r>
          </w:p>
        </w:tc>
        <w:tc>
          <w:tcPr>
            <w:tcW w:w="7920" w:type="dxa"/>
          </w:tcPr>
          <w:p w:rsidR="00180F47" w:rsidRDefault="00A74DE9" w:rsidP="00803771">
            <w:pPr>
              <w:rPr>
                <w:rFonts w:ascii="Arial" w:hAnsi="Arial"/>
                <w:sz w:val="28"/>
              </w:rPr>
            </w:pPr>
            <w:r>
              <w:rPr>
                <w:rFonts w:ascii="Arial" w:hAnsi="Arial"/>
                <w:sz w:val="28"/>
              </w:rPr>
              <w:t>July 1, 2017 through June 30, 2018</w:t>
            </w:r>
          </w:p>
        </w:tc>
      </w:tr>
      <w:tr w:rsidR="00180F47" w:rsidTr="00803771">
        <w:tc>
          <w:tcPr>
            <w:tcW w:w="10188" w:type="dxa"/>
            <w:gridSpan w:val="2"/>
          </w:tcPr>
          <w:p w:rsidR="00180F47" w:rsidRDefault="00180F47" w:rsidP="00803771">
            <w:pPr>
              <w:rPr>
                <w:rFonts w:ascii="Arial" w:hAnsi="Arial"/>
                <w:sz w:val="28"/>
              </w:rPr>
            </w:pPr>
          </w:p>
        </w:tc>
      </w:tr>
      <w:tr w:rsidR="00180F47" w:rsidTr="00803771">
        <w:tc>
          <w:tcPr>
            <w:tcW w:w="2268" w:type="dxa"/>
          </w:tcPr>
          <w:p w:rsidR="00180F47" w:rsidRDefault="00180F47" w:rsidP="00180F47">
            <w:pPr>
              <w:rPr>
                <w:rFonts w:ascii="Arial" w:hAnsi="Arial"/>
                <w:sz w:val="28"/>
              </w:rPr>
            </w:pPr>
            <w:r>
              <w:rPr>
                <w:rFonts w:ascii="Arial" w:hAnsi="Arial"/>
                <w:sz w:val="28"/>
              </w:rPr>
              <w:t>Renewal Options:</w:t>
            </w:r>
          </w:p>
        </w:tc>
        <w:tc>
          <w:tcPr>
            <w:tcW w:w="7920" w:type="dxa"/>
          </w:tcPr>
          <w:p w:rsidR="00180F47" w:rsidRDefault="00DF5BE8" w:rsidP="00DF5BE8">
            <w:pPr>
              <w:rPr>
                <w:rFonts w:ascii="Arial" w:hAnsi="Arial"/>
                <w:sz w:val="28"/>
              </w:rPr>
            </w:pPr>
            <w:r>
              <w:rPr>
                <w:rFonts w:ascii="Arial" w:hAnsi="Arial"/>
                <w:sz w:val="28"/>
              </w:rPr>
              <w:t>Two</w:t>
            </w:r>
            <w:r w:rsidR="00A74DE9">
              <w:rPr>
                <w:rFonts w:ascii="Arial" w:hAnsi="Arial"/>
                <w:sz w:val="28"/>
              </w:rPr>
              <w:t xml:space="preserve"> (</w:t>
            </w:r>
            <w:r>
              <w:rPr>
                <w:rFonts w:ascii="Arial" w:hAnsi="Arial"/>
                <w:sz w:val="28"/>
              </w:rPr>
              <w:t>2</w:t>
            </w:r>
            <w:r w:rsidR="00A74DE9">
              <w:rPr>
                <w:rFonts w:ascii="Arial" w:hAnsi="Arial"/>
                <w:sz w:val="28"/>
              </w:rPr>
              <w:t>), one (1) year renewal period</w:t>
            </w:r>
          </w:p>
        </w:tc>
      </w:tr>
      <w:tr w:rsidR="00180F47" w:rsidTr="00803771">
        <w:tc>
          <w:tcPr>
            <w:tcW w:w="10188" w:type="dxa"/>
            <w:gridSpan w:val="2"/>
          </w:tcPr>
          <w:p w:rsidR="00180F47" w:rsidRDefault="00180F47" w:rsidP="00803771">
            <w:pPr>
              <w:rPr>
                <w:rFonts w:ascii="Arial" w:hAnsi="Arial"/>
                <w:sz w:val="28"/>
              </w:rPr>
            </w:pPr>
          </w:p>
        </w:tc>
      </w:tr>
      <w:tr w:rsidR="00180F47">
        <w:tc>
          <w:tcPr>
            <w:tcW w:w="2268" w:type="dxa"/>
          </w:tcPr>
          <w:p w:rsidR="00180F47" w:rsidRDefault="00180F47">
            <w:pPr>
              <w:rPr>
                <w:rFonts w:ascii="Arial" w:hAnsi="Arial"/>
                <w:sz w:val="28"/>
              </w:rPr>
            </w:pPr>
            <w:r>
              <w:rPr>
                <w:rFonts w:ascii="Arial" w:hAnsi="Arial"/>
                <w:sz w:val="28"/>
              </w:rPr>
              <w:t>Agency:</w:t>
            </w:r>
          </w:p>
        </w:tc>
        <w:tc>
          <w:tcPr>
            <w:tcW w:w="7920" w:type="dxa"/>
          </w:tcPr>
          <w:p w:rsidR="00180F47" w:rsidRDefault="00A74DE9">
            <w:pPr>
              <w:rPr>
                <w:rFonts w:ascii="Arial" w:hAnsi="Arial"/>
                <w:sz w:val="28"/>
              </w:rPr>
            </w:pPr>
            <w:r>
              <w:rPr>
                <w:rFonts w:ascii="Arial" w:hAnsi="Arial"/>
                <w:sz w:val="28"/>
              </w:rPr>
              <w:t>Department of Elementary and Secondary Education</w:t>
            </w:r>
          </w:p>
        </w:tc>
      </w:tr>
      <w:tr w:rsidR="00180F47">
        <w:tc>
          <w:tcPr>
            <w:tcW w:w="10188" w:type="dxa"/>
            <w:gridSpan w:val="2"/>
          </w:tcPr>
          <w:p w:rsidR="00180F47" w:rsidRDefault="00180F47" w:rsidP="009751F4">
            <w:pPr>
              <w:rPr>
                <w:rFonts w:ascii="Arial" w:hAnsi="Arial"/>
                <w:sz w:val="28"/>
              </w:rPr>
            </w:pPr>
          </w:p>
        </w:tc>
      </w:tr>
      <w:tr w:rsidR="00180F47">
        <w:tc>
          <w:tcPr>
            <w:tcW w:w="2268" w:type="dxa"/>
          </w:tcPr>
          <w:p w:rsidR="00180F47" w:rsidRDefault="00180F47">
            <w:pPr>
              <w:rPr>
                <w:rFonts w:ascii="Arial" w:hAnsi="Arial"/>
                <w:sz w:val="28"/>
              </w:rPr>
            </w:pPr>
            <w:r>
              <w:rPr>
                <w:rFonts w:ascii="Arial" w:hAnsi="Arial"/>
                <w:sz w:val="28"/>
              </w:rPr>
              <w:t>Supplier:</w:t>
            </w:r>
          </w:p>
        </w:tc>
        <w:tc>
          <w:tcPr>
            <w:tcW w:w="7920" w:type="dxa"/>
          </w:tcPr>
          <w:p w:rsidR="00180F47" w:rsidRDefault="00A74DE9">
            <w:pPr>
              <w:rPr>
                <w:rFonts w:ascii="Arial" w:hAnsi="Arial"/>
                <w:sz w:val="28"/>
              </w:rPr>
            </w:pPr>
            <w:r>
              <w:rPr>
                <w:rFonts w:ascii="Arial" w:hAnsi="Arial"/>
                <w:sz w:val="28"/>
              </w:rPr>
              <w:t>Missouri Restaurant Association</w:t>
            </w:r>
          </w:p>
        </w:tc>
      </w:tr>
      <w:tr w:rsidR="00180F47">
        <w:tc>
          <w:tcPr>
            <w:tcW w:w="10188" w:type="dxa"/>
            <w:gridSpan w:val="2"/>
          </w:tcPr>
          <w:p w:rsidR="00180F47" w:rsidRDefault="00180F47" w:rsidP="009751F4">
            <w:pPr>
              <w:rPr>
                <w:rFonts w:ascii="Arial" w:hAnsi="Arial"/>
                <w:sz w:val="28"/>
              </w:rPr>
            </w:pPr>
          </w:p>
        </w:tc>
      </w:tr>
      <w:tr w:rsidR="00180F47">
        <w:tc>
          <w:tcPr>
            <w:tcW w:w="2268" w:type="dxa"/>
          </w:tcPr>
          <w:p w:rsidR="00180F47" w:rsidRDefault="00180F47">
            <w:pPr>
              <w:rPr>
                <w:rFonts w:ascii="Arial" w:hAnsi="Arial"/>
                <w:sz w:val="28"/>
              </w:rPr>
            </w:pPr>
            <w:r>
              <w:rPr>
                <w:rFonts w:ascii="Arial" w:hAnsi="Arial"/>
                <w:sz w:val="28"/>
              </w:rPr>
              <w:t>Buyer:</w:t>
            </w:r>
          </w:p>
        </w:tc>
        <w:tc>
          <w:tcPr>
            <w:tcW w:w="7920" w:type="dxa"/>
          </w:tcPr>
          <w:p w:rsidR="00180F47" w:rsidRDefault="00A74DE9" w:rsidP="00180F47">
            <w:pPr>
              <w:rPr>
                <w:rFonts w:ascii="Arial" w:hAnsi="Arial"/>
                <w:sz w:val="28"/>
              </w:rPr>
            </w:pPr>
            <w:r>
              <w:rPr>
                <w:rFonts w:ascii="Arial" w:hAnsi="Arial"/>
                <w:sz w:val="28"/>
              </w:rPr>
              <w:t>Jason Kolks</w:t>
            </w:r>
          </w:p>
        </w:tc>
      </w:tr>
      <w:tr w:rsidR="00180F47">
        <w:tc>
          <w:tcPr>
            <w:tcW w:w="10188" w:type="dxa"/>
            <w:gridSpan w:val="2"/>
          </w:tcPr>
          <w:p w:rsidR="00180F47" w:rsidRDefault="00180F47">
            <w:pPr>
              <w:rPr>
                <w:rFonts w:ascii="Arial" w:hAnsi="Arial"/>
                <w:sz w:val="28"/>
              </w:rPr>
            </w:pPr>
          </w:p>
        </w:tc>
      </w:tr>
      <w:tr w:rsidR="00180F47">
        <w:tc>
          <w:tcPr>
            <w:tcW w:w="2268" w:type="dxa"/>
          </w:tcPr>
          <w:p w:rsidR="00180F47" w:rsidRDefault="00180F47">
            <w:pPr>
              <w:rPr>
                <w:rFonts w:ascii="Arial" w:hAnsi="Arial"/>
                <w:sz w:val="28"/>
              </w:rPr>
            </w:pPr>
            <w:r>
              <w:rPr>
                <w:rFonts w:ascii="Arial" w:hAnsi="Arial"/>
                <w:sz w:val="28"/>
              </w:rPr>
              <w:t>Phone No:</w:t>
            </w:r>
          </w:p>
        </w:tc>
        <w:tc>
          <w:tcPr>
            <w:tcW w:w="7920" w:type="dxa"/>
          </w:tcPr>
          <w:p w:rsidR="00180F47" w:rsidRDefault="00A74DE9">
            <w:pPr>
              <w:rPr>
                <w:rFonts w:ascii="Arial" w:hAnsi="Arial"/>
                <w:sz w:val="28"/>
              </w:rPr>
            </w:pPr>
            <w:r>
              <w:rPr>
                <w:rFonts w:ascii="Arial" w:hAnsi="Arial"/>
                <w:sz w:val="28"/>
              </w:rPr>
              <w:t>573-522-1620</w:t>
            </w:r>
          </w:p>
        </w:tc>
      </w:tr>
      <w:tr w:rsidR="00180F47">
        <w:tc>
          <w:tcPr>
            <w:tcW w:w="10188" w:type="dxa"/>
            <w:gridSpan w:val="2"/>
          </w:tcPr>
          <w:p w:rsidR="00180F47" w:rsidRDefault="00180F47">
            <w:pPr>
              <w:rPr>
                <w:rFonts w:ascii="Arial" w:hAnsi="Arial"/>
                <w:sz w:val="28"/>
              </w:rPr>
            </w:pPr>
          </w:p>
        </w:tc>
      </w:tr>
      <w:tr w:rsidR="00180F47">
        <w:tc>
          <w:tcPr>
            <w:tcW w:w="2268" w:type="dxa"/>
          </w:tcPr>
          <w:p w:rsidR="00180F47" w:rsidRDefault="00180F47">
            <w:pPr>
              <w:rPr>
                <w:rFonts w:ascii="Arial" w:hAnsi="Arial"/>
                <w:sz w:val="28"/>
              </w:rPr>
            </w:pPr>
            <w:r>
              <w:rPr>
                <w:rFonts w:ascii="Arial" w:hAnsi="Arial"/>
                <w:sz w:val="28"/>
              </w:rPr>
              <w:t>E-Mail:</w:t>
            </w:r>
          </w:p>
        </w:tc>
        <w:tc>
          <w:tcPr>
            <w:tcW w:w="7920" w:type="dxa"/>
          </w:tcPr>
          <w:p w:rsidR="00180F47" w:rsidRDefault="00A74DE9">
            <w:pPr>
              <w:rPr>
                <w:rFonts w:ascii="Arial" w:hAnsi="Arial"/>
                <w:sz w:val="28"/>
              </w:rPr>
            </w:pPr>
            <w:r>
              <w:rPr>
                <w:rFonts w:ascii="Arial" w:hAnsi="Arial"/>
                <w:sz w:val="28"/>
              </w:rPr>
              <w:t>jason.kolks@oa.mo.gov</w:t>
            </w:r>
          </w:p>
        </w:tc>
      </w:tr>
      <w:tr w:rsidR="00180F47" w:rsidTr="00803771">
        <w:tc>
          <w:tcPr>
            <w:tcW w:w="10188" w:type="dxa"/>
            <w:gridSpan w:val="2"/>
          </w:tcPr>
          <w:p w:rsidR="00180F47" w:rsidRDefault="00180F47" w:rsidP="00803771">
            <w:pPr>
              <w:rPr>
                <w:rFonts w:ascii="Arial" w:hAnsi="Arial"/>
                <w:sz w:val="28"/>
              </w:rPr>
            </w:pPr>
          </w:p>
        </w:tc>
      </w:tr>
      <w:tr w:rsidR="00180F47">
        <w:tc>
          <w:tcPr>
            <w:tcW w:w="2268" w:type="dxa"/>
          </w:tcPr>
          <w:p w:rsidR="00180F47" w:rsidRDefault="00180F47">
            <w:pPr>
              <w:rPr>
                <w:rFonts w:ascii="Arial" w:hAnsi="Arial"/>
                <w:sz w:val="28"/>
              </w:rPr>
            </w:pPr>
            <w:r>
              <w:rPr>
                <w:rFonts w:ascii="Arial" w:hAnsi="Arial"/>
                <w:sz w:val="28"/>
              </w:rPr>
              <w:t>Advertising Required:</w:t>
            </w:r>
          </w:p>
        </w:tc>
        <w:tc>
          <w:tcPr>
            <w:tcW w:w="7920" w:type="dxa"/>
          </w:tcPr>
          <w:p w:rsidR="00180F47" w:rsidRDefault="00A74DE9">
            <w:pPr>
              <w:rPr>
                <w:rFonts w:ascii="Arial" w:hAnsi="Arial"/>
                <w:sz w:val="28"/>
              </w:rPr>
            </w:pPr>
            <w:r>
              <w:rPr>
                <w:rFonts w:ascii="Arial" w:hAnsi="Arial"/>
                <w:sz w:val="28"/>
              </w:rPr>
              <w:t>Yes</w:t>
            </w:r>
          </w:p>
        </w:tc>
      </w:tr>
      <w:tr w:rsidR="00180F47" w:rsidTr="00803771">
        <w:tc>
          <w:tcPr>
            <w:tcW w:w="10188" w:type="dxa"/>
            <w:gridSpan w:val="2"/>
          </w:tcPr>
          <w:p w:rsidR="00180F47" w:rsidRDefault="00180F47" w:rsidP="00803771">
            <w:pPr>
              <w:rPr>
                <w:rFonts w:ascii="Arial" w:hAnsi="Arial"/>
                <w:sz w:val="28"/>
              </w:rPr>
            </w:pPr>
          </w:p>
        </w:tc>
      </w:tr>
      <w:tr w:rsidR="00180F47">
        <w:tc>
          <w:tcPr>
            <w:tcW w:w="2268" w:type="dxa"/>
          </w:tcPr>
          <w:p w:rsidR="00180F47" w:rsidRDefault="00180F47">
            <w:pPr>
              <w:rPr>
                <w:rFonts w:ascii="Arial" w:hAnsi="Arial"/>
                <w:sz w:val="28"/>
              </w:rPr>
            </w:pPr>
            <w:r>
              <w:rPr>
                <w:rFonts w:ascii="Arial" w:hAnsi="Arial"/>
                <w:sz w:val="28"/>
              </w:rPr>
              <w:t>Requisition No.:</w:t>
            </w:r>
          </w:p>
        </w:tc>
        <w:tc>
          <w:tcPr>
            <w:tcW w:w="7920" w:type="dxa"/>
          </w:tcPr>
          <w:p w:rsidR="00180F47" w:rsidRDefault="00A74DE9">
            <w:pPr>
              <w:rPr>
                <w:rFonts w:ascii="Arial" w:hAnsi="Arial"/>
                <w:sz w:val="28"/>
              </w:rPr>
            </w:pPr>
            <w:r>
              <w:rPr>
                <w:rFonts w:ascii="Arial" w:hAnsi="Arial"/>
                <w:sz w:val="28"/>
              </w:rPr>
              <w:t>NR 500 CO170000022</w:t>
            </w:r>
          </w:p>
        </w:tc>
      </w:tr>
      <w:tr w:rsidR="00495404" w:rsidTr="006F2E6D">
        <w:tc>
          <w:tcPr>
            <w:tcW w:w="10188" w:type="dxa"/>
            <w:gridSpan w:val="2"/>
          </w:tcPr>
          <w:p w:rsidR="00495404" w:rsidRPr="00582B0D" w:rsidRDefault="00495404" w:rsidP="006F2E6D">
            <w:pPr>
              <w:rPr>
                <w:rFonts w:ascii="Arial" w:hAnsi="Arial"/>
                <w:i/>
                <w:sz w:val="28"/>
              </w:rPr>
            </w:pPr>
          </w:p>
        </w:tc>
      </w:tr>
      <w:tr w:rsidR="00495404" w:rsidTr="006F2E6D">
        <w:tc>
          <w:tcPr>
            <w:tcW w:w="2268" w:type="dxa"/>
          </w:tcPr>
          <w:p w:rsidR="00495404" w:rsidRDefault="00495404" w:rsidP="00495404">
            <w:pPr>
              <w:rPr>
                <w:rFonts w:ascii="Arial" w:hAnsi="Arial"/>
                <w:sz w:val="28"/>
              </w:rPr>
            </w:pPr>
            <w:r>
              <w:rPr>
                <w:rFonts w:ascii="Arial" w:hAnsi="Arial"/>
                <w:sz w:val="28"/>
              </w:rPr>
              <w:t>SFS No.:</w:t>
            </w:r>
          </w:p>
        </w:tc>
        <w:tc>
          <w:tcPr>
            <w:tcW w:w="7920" w:type="dxa"/>
          </w:tcPr>
          <w:p w:rsidR="00495404" w:rsidRDefault="00A74DE9" w:rsidP="006F2E6D">
            <w:pPr>
              <w:rPr>
                <w:rFonts w:ascii="Arial" w:hAnsi="Arial"/>
                <w:sz w:val="28"/>
              </w:rPr>
            </w:pPr>
            <w:r>
              <w:rPr>
                <w:rFonts w:ascii="Arial" w:hAnsi="Arial"/>
                <w:sz w:val="28"/>
              </w:rPr>
              <w:t>SFSS3003490170</w:t>
            </w:r>
            <w:r w:rsidR="005B6D94">
              <w:rPr>
                <w:rFonts w:ascii="Arial" w:hAnsi="Arial"/>
                <w:sz w:val="28"/>
              </w:rPr>
              <w:t>1269</w:t>
            </w:r>
          </w:p>
        </w:tc>
      </w:tr>
    </w:tbl>
    <w:p w:rsidR="001D7B63" w:rsidRDefault="001D7B63" w:rsidP="00A74DE9">
      <w:pPr>
        <w:tabs>
          <w:tab w:val="left" w:pos="2160"/>
          <w:tab w:val="left" w:pos="4860"/>
          <w:tab w:val="left" w:pos="5940"/>
        </w:tabs>
        <w:spacing w:line="360" w:lineRule="auto"/>
        <w:rPr>
          <w:rFonts w:ascii="Arial" w:hAnsi="Arial"/>
          <w:color w:val="000000"/>
          <w:sz w:val="28"/>
        </w:rPr>
      </w:pPr>
    </w:p>
    <w:sectPr w:rsidR="001D7B63" w:rsidSect="00A74DE9">
      <w:endnotePr>
        <w:numFmt w:val="decimal"/>
      </w:endnotePr>
      <w:pgSz w:w="12240" w:h="15840"/>
      <w:pgMar w:top="864" w:right="1008" w:bottom="864" w:left="1008"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931"/>
    <w:rsid w:val="00180F47"/>
    <w:rsid w:val="001D7B63"/>
    <w:rsid w:val="0022407F"/>
    <w:rsid w:val="00266580"/>
    <w:rsid w:val="00495404"/>
    <w:rsid w:val="00582B0D"/>
    <w:rsid w:val="005B6D94"/>
    <w:rsid w:val="00631586"/>
    <w:rsid w:val="00680931"/>
    <w:rsid w:val="006F2E6D"/>
    <w:rsid w:val="007656AF"/>
    <w:rsid w:val="00803771"/>
    <w:rsid w:val="008861BE"/>
    <w:rsid w:val="009460BE"/>
    <w:rsid w:val="009751F4"/>
    <w:rsid w:val="00A456EA"/>
    <w:rsid w:val="00A74DE9"/>
    <w:rsid w:val="00A8761F"/>
    <w:rsid w:val="00DF5BE8"/>
    <w:rsid w:val="00FB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link w:val="BalloonTextChar"/>
    <w:rsid w:val="00495404"/>
    <w:rPr>
      <w:rFonts w:ascii="Tahoma" w:hAnsi="Tahoma" w:cs="Tahoma"/>
      <w:sz w:val="16"/>
      <w:szCs w:val="16"/>
    </w:rPr>
  </w:style>
  <w:style w:type="character" w:customStyle="1" w:styleId="BalloonTextChar">
    <w:name w:val="Balloon Text Char"/>
    <w:basedOn w:val="DefaultParagraphFont"/>
    <w:link w:val="BalloonText"/>
    <w:rsid w:val="004954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link w:val="BalloonTextChar"/>
    <w:rsid w:val="00495404"/>
    <w:rPr>
      <w:rFonts w:ascii="Tahoma" w:hAnsi="Tahoma" w:cs="Tahoma"/>
      <w:sz w:val="16"/>
      <w:szCs w:val="16"/>
    </w:rPr>
  </w:style>
  <w:style w:type="character" w:customStyle="1" w:styleId="BalloonTextChar">
    <w:name w:val="Balloon Text Char"/>
    <w:basedOn w:val="DefaultParagraphFont"/>
    <w:link w:val="BalloonText"/>
    <w:rsid w:val="00495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3E96854C.dotm</Template>
  <TotalTime>1</TotalTime>
  <Pages>1</Pages>
  <Words>202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Single Feasible Source Purchase</vt:lpstr>
    </vt:vector>
  </TitlesOfParts>
  <Company>State of Missouri</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Feasible Source Purchase</dc:title>
  <dc:creator>Julie Kleffner</dc:creator>
  <cp:lastModifiedBy>temmed</cp:lastModifiedBy>
  <cp:revision>2</cp:revision>
  <cp:lastPrinted>2005-08-09T20:48:00Z</cp:lastPrinted>
  <dcterms:created xsi:type="dcterms:W3CDTF">2017-05-19T13:43:00Z</dcterms:created>
  <dcterms:modified xsi:type="dcterms:W3CDTF">2017-05-19T13:43:00Z</dcterms:modified>
</cp:coreProperties>
</file>