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63" w:rsidRDefault="001D7B63">
      <w:pPr>
        <w:jc w:val="center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Single Feasible Source Purchase</w:t>
      </w:r>
    </w:p>
    <w:p w:rsidR="001D7B63" w:rsidRDefault="001D7B63">
      <w:pPr>
        <w:rPr>
          <w:rFonts w:ascii="Arial" w:hAnsi="Arial"/>
          <w:sz w:val="28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268"/>
        <w:gridCol w:w="8010"/>
      </w:tblGrid>
      <w:tr w:rsidR="001D7B63" w:rsidTr="007B5CAC">
        <w:tc>
          <w:tcPr>
            <w:tcW w:w="2268" w:type="dxa"/>
          </w:tcPr>
          <w:p w:rsidR="001D7B63" w:rsidRDefault="001D7B6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Title:</w:t>
            </w:r>
          </w:p>
        </w:tc>
        <w:tc>
          <w:tcPr>
            <w:tcW w:w="8010" w:type="dxa"/>
          </w:tcPr>
          <w:p w:rsidR="001D7B63" w:rsidRPr="0059322A" w:rsidRDefault="009437F7">
            <w:pPr>
              <w:rPr>
                <w:rFonts w:ascii="Arial" w:hAnsi="Arial"/>
                <w:sz w:val="27"/>
                <w:szCs w:val="27"/>
              </w:rPr>
            </w:pPr>
            <w:r>
              <w:rPr>
                <w:rFonts w:ascii="Arial" w:hAnsi="Arial"/>
                <w:sz w:val="27"/>
                <w:szCs w:val="27"/>
              </w:rPr>
              <w:t>Pediatric</w:t>
            </w:r>
            <w:r w:rsidR="005D4CED" w:rsidRPr="0059322A">
              <w:rPr>
                <w:rFonts w:ascii="Arial" w:hAnsi="Arial"/>
                <w:sz w:val="27"/>
                <w:szCs w:val="27"/>
              </w:rPr>
              <w:t xml:space="preserve"> Hemoglobinopathy (Sickle Cell) Resource Center Services</w:t>
            </w:r>
          </w:p>
        </w:tc>
      </w:tr>
      <w:tr w:rsidR="001D7B63" w:rsidTr="007B5CAC">
        <w:tc>
          <w:tcPr>
            <w:tcW w:w="10278" w:type="dxa"/>
            <w:gridSpan w:val="2"/>
          </w:tcPr>
          <w:p w:rsidR="001D7B63" w:rsidRPr="0059322A" w:rsidRDefault="001D7B63">
            <w:pPr>
              <w:rPr>
                <w:rFonts w:ascii="Arial" w:hAnsi="Arial"/>
                <w:sz w:val="27"/>
                <w:szCs w:val="27"/>
              </w:rPr>
            </w:pPr>
          </w:p>
        </w:tc>
      </w:tr>
      <w:tr w:rsidR="001D7B63" w:rsidTr="007B5CAC">
        <w:trPr>
          <w:trHeight w:val="1575"/>
        </w:trPr>
        <w:tc>
          <w:tcPr>
            <w:tcW w:w="2268" w:type="dxa"/>
          </w:tcPr>
          <w:p w:rsidR="001D7B63" w:rsidRDefault="001D7B6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Description:</w:t>
            </w:r>
          </w:p>
        </w:tc>
        <w:tc>
          <w:tcPr>
            <w:tcW w:w="8010" w:type="dxa"/>
          </w:tcPr>
          <w:p w:rsidR="007B5CAC" w:rsidRPr="0059322A" w:rsidRDefault="009437F7" w:rsidP="007B5CAC">
            <w:pPr>
              <w:ind w:right="-198"/>
              <w:rPr>
                <w:rFonts w:ascii="Arial" w:hAnsi="Arial" w:cs="Arial"/>
                <w:bCs/>
                <w:sz w:val="27"/>
                <w:szCs w:val="27"/>
              </w:rPr>
            </w:pPr>
            <w:r>
              <w:rPr>
                <w:rFonts w:ascii="Arial" w:hAnsi="Arial" w:cs="Arial"/>
                <w:bCs/>
                <w:sz w:val="27"/>
                <w:szCs w:val="27"/>
              </w:rPr>
              <w:t>To provide comprehensive Pediatric</w:t>
            </w:r>
            <w:r w:rsidR="007B5CAC" w:rsidRPr="0059322A">
              <w:rPr>
                <w:rFonts w:ascii="Arial" w:hAnsi="Arial" w:cs="Arial"/>
                <w:bCs/>
                <w:sz w:val="27"/>
                <w:szCs w:val="27"/>
              </w:rPr>
              <w:t xml:space="preserve"> Hemoglobinopathy (sickle cell) services through a Comprehensive Resource Center (providing services to individuals age 21</w:t>
            </w:r>
            <w:r>
              <w:rPr>
                <w:rFonts w:ascii="Arial" w:hAnsi="Arial" w:cs="Arial"/>
                <w:bCs/>
                <w:sz w:val="27"/>
                <w:szCs w:val="27"/>
              </w:rPr>
              <w:t xml:space="preserve"> and under)</w:t>
            </w:r>
            <w:r w:rsidR="007B5CAC" w:rsidRPr="0059322A">
              <w:rPr>
                <w:rFonts w:ascii="Arial" w:hAnsi="Arial" w:cs="Arial"/>
                <w:bCs/>
                <w:sz w:val="27"/>
                <w:szCs w:val="27"/>
              </w:rPr>
              <w:t xml:space="preserve"> with the goal</w:t>
            </w:r>
            <w:r>
              <w:rPr>
                <w:rFonts w:ascii="Arial" w:hAnsi="Arial" w:cs="Arial"/>
                <w:bCs/>
                <w:sz w:val="27"/>
                <w:szCs w:val="27"/>
              </w:rPr>
              <w:t xml:space="preserve">s of protecting the health of and </w:t>
            </w:r>
            <w:r w:rsidR="007B5CAC" w:rsidRPr="0059322A">
              <w:rPr>
                <w:rFonts w:ascii="Arial" w:hAnsi="Arial" w:cs="Arial"/>
                <w:bCs/>
                <w:sz w:val="27"/>
                <w:szCs w:val="27"/>
              </w:rPr>
              <w:t xml:space="preserve">reducing the burden of chronic disease among Missouri’s </w:t>
            </w:r>
            <w:r>
              <w:rPr>
                <w:rFonts w:ascii="Arial" w:hAnsi="Arial" w:cs="Arial"/>
                <w:bCs/>
                <w:sz w:val="27"/>
                <w:szCs w:val="27"/>
              </w:rPr>
              <w:t xml:space="preserve">pediatric population.   </w:t>
            </w:r>
          </w:p>
          <w:p w:rsidR="007B5CAC" w:rsidRPr="0059322A" w:rsidRDefault="007B5CAC" w:rsidP="007B5CAC">
            <w:pPr>
              <w:ind w:right="-198"/>
              <w:rPr>
                <w:rFonts w:ascii="Arial" w:hAnsi="Arial" w:cs="Arial"/>
                <w:bCs/>
                <w:sz w:val="27"/>
                <w:szCs w:val="27"/>
              </w:rPr>
            </w:pPr>
          </w:p>
          <w:p w:rsidR="007B5CAC" w:rsidRPr="0059322A" w:rsidRDefault="0007226D" w:rsidP="007B5CAC">
            <w:pPr>
              <w:ind w:right="-198"/>
              <w:rPr>
                <w:rFonts w:ascii="Arial" w:hAnsi="Arial" w:cs="Arial"/>
                <w:bCs/>
                <w:sz w:val="27"/>
                <w:szCs w:val="27"/>
              </w:rPr>
            </w:pPr>
            <w:r>
              <w:rPr>
                <w:rFonts w:ascii="Arial" w:hAnsi="Arial" w:cs="Arial"/>
                <w:bCs/>
                <w:sz w:val="27"/>
                <w:szCs w:val="27"/>
              </w:rPr>
              <w:t>Children’s Mercy Hospital is</w:t>
            </w:r>
            <w:r w:rsidR="007B5CAC" w:rsidRPr="0059322A">
              <w:rPr>
                <w:rFonts w:ascii="Arial" w:hAnsi="Arial" w:cs="Arial"/>
                <w:bCs/>
                <w:sz w:val="27"/>
                <w:szCs w:val="27"/>
              </w:rPr>
              <w:t xml:space="preserve"> considered a single feasible source due to the fact that through past procurements, </w:t>
            </w:r>
            <w:r>
              <w:rPr>
                <w:rFonts w:ascii="Arial" w:hAnsi="Arial" w:cs="Arial"/>
                <w:bCs/>
                <w:sz w:val="27"/>
                <w:szCs w:val="27"/>
              </w:rPr>
              <w:t>Children’s Mercy Hospital is the only organization</w:t>
            </w:r>
            <w:r w:rsidR="007B5CAC" w:rsidRPr="0059322A">
              <w:rPr>
                <w:rFonts w:ascii="Arial" w:hAnsi="Arial" w:cs="Arial"/>
                <w:bCs/>
                <w:sz w:val="27"/>
                <w:szCs w:val="27"/>
              </w:rPr>
              <w:t xml:space="preserve"> in </w:t>
            </w:r>
            <w:r>
              <w:rPr>
                <w:rFonts w:ascii="Arial" w:hAnsi="Arial" w:cs="Arial"/>
                <w:bCs/>
                <w:sz w:val="27"/>
                <w:szCs w:val="27"/>
              </w:rPr>
              <w:t xml:space="preserve">Region 1 </w:t>
            </w:r>
            <w:r w:rsidR="007B5CAC" w:rsidRPr="0059322A">
              <w:rPr>
                <w:rFonts w:ascii="Arial" w:hAnsi="Arial" w:cs="Arial"/>
                <w:bCs/>
                <w:sz w:val="27"/>
                <w:szCs w:val="27"/>
              </w:rPr>
              <w:t xml:space="preserve">that </w:t>
            </w:r>
            <w:proofErr w:type="gramStart"/>
            <w:r w:rsidR="007B5CAC" w:rsidRPr="0059322A">
              <w:rPr>
                <w:rFonts w:ascii="Arial" w:hAnsi="Arial" w:cs="Arial"/>
                <w:bCs/>
                <w:sz w:val="27"/>
                <w:szCs w:val="27"/>
              </w:rPr>
              <w:t>provide</w:t>
            </w:r>
            <w:proofErr w:type="gramEnd"/>
            <w:r w:rsidR="007B5CAC" w:rsidRPr="0059322A">
              <w:rPr>
                <w:rFonts w:ascii="Arial" w:hAnsi="Arial" w:cs="Arial"/>
                <w:bCs/>
                <w:sz w:val="27"/>
                <w:szCs w:val="27"/>
              </w:rPr>
              <w:t xml:space="preserve"> the necessary services.  </w:t>
            </w:r>
          </w:p>
          <w:p w:rsidR="001D7B63" w:rsidRPr="0059322A" w:rsidRDefault="001D7B63" w:rsidP="005E24CE">
            <w:pPr>
              <w:pStyle w:val="Header"/>
              <w:tabs>
                <w:tab w:val="clear" w:pos="4320"/>
                <w:tab w:val="left" w:pos="1080"/>
                <w:tab w:val="center" w:pos="4680"/>
                <w:tab w:val="center" w:pos="5400"/>
                <w:tab w:val="center" w:pos="8400"/>
              </w:tabs>
              <w:jc w:val="both"/>
              <w:rPr>
                <w:rFonts w:ascii="Arial" w:hAnsi="Arial"/>
                <w:sz w:val="27"/>
                <w:szCs w:val="27"/>
              </w:rPr>
            </w:pPr>
          </w:p>
        </w:tc>
      </w:tr>
      <w:tr w:rsidR="00180F47" w:rsidTr="007B5CAC">
        <w:tc>
          <w:tcPr>
            <w:tcW w:w="10278" w:type="dxa"/>
            <w:gridSpan w:val="2"/>
          </w:tcPr>
          <w:p w:rsidR="00180F47" w:rsidRDefault="00180F47" w:rsidP="009751F4">
            <w:pPr>
              <w:rPr>
                <w:rFonts w:ascii="Arial" w:hAnsi="Arial"/>
                <w:sz w:val="28"/>
              </w:rPr>
            </w:pPr>
          </w:p>
        </w:tc>
      </w:tr>
      <w:tr w:rsidR="00180F47" w:rsidTr="007B5CAC">
        <w:tc>
          <w:tcPr>
            <w:tcW w:w="2268" w:type="dxa"/>
          </w:tcPr>
          <w:p w:rsidR="00180F47" w:rsidRDefault="00180F47" w:rsidP="00803771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Contract Period:</w:t>
            </w:r>
          </w:p>
        </w:tc>
        <w:tc>
          <w:tcPr>
            <w:tcW w:w="8010" w:type="dxa"/>
          </w:tcPr>
          <w:p w:rsidR="00180F47" w:rsidRPr="0059322A" w:rsidRDefault="0007226D" w:rsidP="008079B1">
            <w:pPr>
              <w:rPr>
                <w:rFonts w:ascii="Arial" w:hAnsi="Arial"/>
                <w:sz w:val="27"/>
                <w:szCs w:val="27"/>
              </w:rPr>
            </w:pPr>
            <w:r>
              <w:rPr>
                <w:rFonts w:ascii="Arial" w:hAnsi="Arial"/>
                <w:sz w:val="27"/>
                <w:szCs w:val="27"/>
              </w:rPr>
              <w:t>June 1, 2017</w:t>
            </w:r>
            <w:r w:rsidR="0001774D" w:rsidRPr="0059322A">
              <w:rPr>
                <w:rFonts w:ascii="Arial" w:hAnsi="Arial"/>
                <w:sz w:val="27"/>
                <w:szCs w:val="27"/>
              </w:rPr>
              <w:t xml:space="preserve"> through May 31, 201</w:t>
            </w:r>
            <w:r>
              <w:rPr>
                <w:rFonts w:ascii="Arial" w:hAnsi="Arial"/>
                <w:sz w:val="27"/>
                <w:szCs w:val="27"/>
              </w:rPr>
              <w:t>8</w:t>
            </w:r>
          </w:p>
        </w:tc>
      </w:tr>
      <w:tr w:rsidR="00180F47" w:rsidTr="007B5CAC">
        <w:tc>
          <w:tcPr>
            <w:tcW w:w="10278" w:type="dxa"/>
            <w:gridSpan w:val="2"/>
          </w:tcPr>
          <w:p w:rsidR="00180F47" w:rsidRPr="0059322A" w:rsidRDefault="00180F47" w:rsidP="00803771">
            <w:pPr>
              <w:rPr>
                <w:rFonts w:ascii="Arial" w:hAnsi="Arial"/>
                <w:sz w:val="27"/>
                <w:szCs w:val="27"/>
              </w:rPr>
            </w:pPr>
          </w:p>
        </w:tc>
      </w:tr>
      <w:tr w:rsidR="00180F47" w:rsidTr="007B5CAC">
        <w:tc>
          <w:tcPr>
            <w:tcW w:w="2268" w:type="dxa"/>
          </w:tcPr>
          <w:p w:rsidR="00180F47" w:rsidRDefault="00180F47" w:rsidP="00180F4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Renewal Options:</w:t>
            </w:r>
          </w:p>
        </w:tc>
        <w:tc>
          <w:tcPr>
            <w:tcW w:w="8010" w:type="dxa"/>
          </w:tcPr>
          <w:p w:rsidR="00180F47" w:rsidRPr="0059322A" w:rsidRDefault="0007226D" w:rsidP="00803771">
            <w:pPr>
              <w:rPr>
                <w:rFonts w:ascii="Arial" w:hAnsi="Arial"/>
                <w:sz w:val="27"/>
                <w:szCs w:val="27"/>
              </w:rPr>
            </w:pPr>
            <w:r>
              <w:rPr>
                <w:rFonts w:ascii="Arial" w:hAnsi="Arial"/>
                <w:sz w:val="27"/>
                <w:szCs w:val="27"/>
              </w:rPr>
              <w:t>Two</w:t>
            </w:r>
            <w:r w:rsidR="00504810" w:rsidRPr="0059322A">
              <w:rPr>
                <w:rFonts w:ascii="Arial" w:hAnsi="Arial"/>
                <w:sz w:val="27"/>
                <w:szCs w:val="27"/>
              </w:rPr>
              <w:t xml:space="preserve"> 1-Year Renewals</w:t>
            </w:r>
          </w:p>
        </w:tc>
      </w:tr>
      <w:tr w:rsidR="00180F47" w:rsidTr="007B5CAC">
        <w:tc>
          <w:tcPr>
            <w:tcW w:w="10278" w:type="dxa"/>
            <w:gridSpan w:val="2"/>
          </w:tcPr>
          <w:p w:rsidR="00180F47" w:rsidRDefault="00180F47" w:rsidP="00803771">
            <w:pPr>
              <w:rPr>
                <w:rFonts w:ascii="Arial" w:hAnsi="Arial"/>
                <w:sz w:val="28"/>
              </w:rPr>
            </w:pPr>
          </w:p>
        </w:tc>
      </w:tr>
      <w:tr w:rsidR="00180F47" w:rsidTr="007B5CAC">
        <w:tc>
          <w:tcPr>
            <w:tcW w:w="2268" w:type="dxa"/>
          </w:tcPr>
          <w:p w:rsidR="00180F47" w:rsidRDefault="00180F4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Agency:</w:t>
            </w:r>
          </w:p>
        </w:tc>
        <w:tc>
          <w:tcPr>
            <w:tcW w:w="8010" w:type="dxa"/>
          </w:tcPr>
          <w:p w:rsidR="00180F47" w:rsidRPr="0059322A" w:rsidRDefault="00504810">
            <w:pPr>
              <w:rPr>
                <w:rFonts w:ascii="Arial" w:hAnsi="Arial"/>
                <w:sz w:val="27"/>
                <w:szCs w:val="27"/>
              </w:rPr>
            </w:pPr>
            <w:r w:rsidRPr="0059322A">
              <w:rPr>
                <w:rFonts w:ascii="Arial" w:hAnsi="Arial"/>
                <w:sz w:val="27"/>
                <w:szCs w:val="27"/>
              </w:rPr>
              <w:t>Department of Health and Senior Services</w:t>
            </w:r>
          </w:p>
        </w:tc>
      </w:tr>
      <w:tr w:rsidR="00180F47" w:rsidTr="007B5CAC">
        <w:tc>
          <w:tcPr>
            <w:tcW w:w="10278" w:type="dxa"/>
            <w:gridSpan w:val="2"/>
          </w:tcPr>
          <w:p w:rsidR="00180F47" w:rsidRDefault="00180F47" w:rsidP="009751F4">
            <w:pPr>
              <w:rPr>
                <w:rFonts w:ascii="Arial" w:hAnsi="Arial"/>
                <w:sz w:val="28"/>
              </w:rPr>
            </w:pPr>
          </w:p>
        </w:tc>
      </w:tr>
      <w:tr w:rsidR="00180F47" w:rsidTr="007B5CAC">
        <w:tc>
          <w:tcPr>
            <w:tcW w:w="2268" w:type="dxa"/>
          </w:tcPr>
          <w:p w:rsidR="00180F47" w:rsidRDefault="00180F4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Supplier:</w:t>
            </w:r>
          </w:p>
        </w:tc>
        <w:tc>
          <w:tcPr>
            <w:tcW w:w="8010" w:type="dxa"/>
          </w:tcPr>
          <w:p w:rsidR="00180F47" w:rsidRPr="0059322A" w:rsidRDefault="004306DA">
            <w:pPr>
              <w:rPr>
                <w:rFonts w:ascii="Arial" w:hAnsi="Arial"/>
                <w:sz w:val="27"/>
                <w:szCs w:val="27"/>
              </w:rPr>
            </w:pPr>
            <w:r>
              <w:rPr>
                <w:rFonts w:ascii="Arial" w:hAnsi="Arial"/>
                <w:sz w:val="27"/>
                <w:szCs w:val="27"/>
              </w:rPr>
              <w:t>Children’s Mercy Hospital</w:t>
            </w:r>
          </w:p>
          <w:p w:rsidR="0059322A" w:rsidRDefault="0059322A">
            <w:pPr>
              <w:rPr>
                <w:rFonts w:ascii="Arial" w:hAnsi="Arial"/>
                <w:sz w:val="28"/>
              </w:rPr>
            </w:pPr>
          </w:p>
        </w:tc>
      </w:tr>
      <w:tr w:rsidR="00180F47" w:rsidTr="007B5CAC">
        <w:tc>
          <w:tcPr>
            <w:tcW w:w="10278" w:type="dxa"/>
            <w:gridSpan w:val="2"/>
          </w:tcPr>
          <w:p w:rsidR="00180F47" w:rsidRDefault="00180F47" w:rsidP="009751F4">
            <w:pPr>
              <w:rPr>
                <w:rFonts w:ascii="Arial" w:hAnsi="Arial"/>
                <w:sz w:val="28"/>
              </w:rPr>
            </w:pPr>
          </w:p>
        </w:tc>
      </w:tr>
      <w:tr w:rsidR="00180F47" w:rsidTr="007B5CAC">
        <w:tc>
          <w:tcPr>
            <w:tcW w:w="2268" w:type="dxa"/>
          </w:tcPr>
          <w:p w:rsidR="00180F47" w:rsidRDefault="00180F4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Buyer:</w:t>
            </w:r>
          </w:p>
        </w:tc>
        <w:tc>
          <w:tcPr>
            <w:tcW w:w="8010" w:type="dxa"/>
          </w:tcPr>
          <w:p w:rsidR="00180F47" w:rsidRPr="0059322A" w:rsidRDefault="0007226D" w:rsidP="00180F47">
            <w:pPr>
              <w:rPr>
                <w:rFonts w:ascii="Arial" w:hAnsi="Arial"/>
                <w:sz w:val="27"/>
                <w:szCs w:val="27"/>
              </w:rPr>
            </w:pPr>
            <w:r>
              <w:rPr>
                <w:rFonts w:ascii="Arial" w:hAnsi="Arial"/>
                <w:sz w:val="27"/>
                <w:szCs w:val="27"/>
              </w:rPr>
              <w:t>Leslie Kemna</w:t>
            </w:r>
          </w:p>
        </w:tc>
      </w:tr>
      <w:tr w:rsidR="00180F47" w:rsidTr="007B5CAC">
        <w:tc>
          <w:tcPr>
            <w:tcW w:w="10278" w:type="dxa"/>
            <w:gridSpan w:val="2"/>
          </w:tcPr>
          <w:p w:rsidR="00180F47" w:rsidRDefault="00180F47">
            <w:pPr>
              <w:rPr>
                <w:rFonts w:ascii="Arial" w:hAnsi="Arial"/>
                <w:sz w:val="28"/>
              </w:rPr>
            </w:pPr>
          </w:p>
        </w:tc>
      </w:tr>
      <w:tr w:rsidR="00180F47" w:rsidTr="007B5CAC">
        <w:tc>
          <w:tcPr>
            <w:tcW w:w="2268" w:type="dxa"/>
          </w:tcPr>
          <w:p w:rsidR="00180F47" w:rsidRDefault="00180F4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Phone No:</w:t>
            </w:r>
          </w:p>
        </w:tc>
        <w:tc>
          <w:tcPr>
            <w:tcW w:w="8010" w:type="dxa"/>
          </w:tcPr>
          <w:p w:rsidR="00180F47" w:rsidRPr="0059322A" w:rsidRDefault="00504810">
            <w:pPr>
              <w:rPr>
                <w:rFonts w:ascii="Arial" w:hAnsi="Arial"/>
                <w:sz w:val="27"/>
                <w:szCs w:val="27"/>
              </w:rPr>
            </w:pPr>
            <w:r w:rsidRPr="0059322A">
              <w:rPr>
                <w:rFonts w:ascii="Arial" w:hAnsi="Arial"/>
                <w:sz w:val="27"/>
                <w:szCs w:val="27"/>
              </w:rPr>
              <w:t>573-</w:t>
            </w:r>
            <w:r w:rsidR="0067404A" w:rsidRPr="0059322A">
              <w:rPr>
                <w:rFonts w:ascii="Arial" w:hAnsi="Arial"/>
                <w:sz w:val="27"/>
                <w:szCs w:val="27"/>
              </w:rPr>
              <w:t>751-</w:t>
            </w:r>
            <w:r w:rsidR="0007226D">
              <w:rPr>
                <w:rFonts w:ascii="Arial" w:hAnsi="Arial"/>
                <w:sz w:val="27"/>
                <w:szCs w:val="27"/>
              </w:rPr>
              <w:t>4887</w:t>
            </w:r>
          </w:p>
        </w:tc>
      </w:tr>
      <w:tr w:rsidR="00180F47" w:rsidTr="007B5CAC">
        <w:tc>
          <w:tcPr>
            <w:tcW w:w="10278" w:type="dxa"/>
            <w:gridSpan w:val="2"/>
          </w:tcPr>
          <w:p w:rsidR="00180F47" w:rsidRDefault="00180F47">
            <w:pPr>
              <w:rPr>
                <w:rFonts w:ascii="Arial" w:hAnsi="Arial"/>
                <w:sz w:val="28"/>
              </w:rPr>
            </w:pPr>
          </w:p>
        </w:tc>
      </w:tr>
      <w:tr w:rsidR="00180F47" w:rsidTr="007B5CAC">
        <w:tc>
          <w:tcPr>
            <w:tcW w:w="2268" w:type="dxa"/>
          </w:tcPr>
          <w:p w:rsidR="00180F47" w:rsidRDefault="00180F4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E-Mail:</w:t>
            </w:r>
          </w:p>
        </w:tc>
        <w:tc>
          <w:tcPr>
            <w:tcW w:w="8010" w:type="dxa"/>
          </w:tcPr>
          <w:p w:rsidR="00180F47" w:rsidRPr="0059322A" w:rsidRDefault="00484171">
            <w:pPr>
              <w:rPr>
                <w:rFonts w:ascii="Arial" w:hAnsi="Arial"/>
                <w:sz w:val="27"/>
                <w:szCs w:val="27"/>
              </w:rPr>
            </w:pPr>
            <w:hyperlink r:id="rId6" w:history="1">
              <w:r w:rsidR="0007226D">
                <w:rPr>
                  <w:rStyle w:val="Hyperlink"/>
                  <w:rFonts w:ascii="Arial" w:hAnsi="Arial"/>
                  <w:sz w:val="27"/>
                  <w:szCs w:val="27"/>
                </w:rPr>
                <w:t>leslie.kemna</w:t>
              </w:r>
              <w:r w:rsidR="0067404A" w:rsidRPr="0059322A">
                <w:rPr>
                  <w:rStyle w:val="Hyperlink"/>
                  <w:rFonts w:ascii="Arial" w:hAnsi="Arial"/>
                  <w:sz w:val="27"/>
                  <w:szCs w:val="27"/>
                </w:rPr>
                <w:t>@oa.mo.gov</w:t>
              </w:r>
            </w:hyperlink>
            <w:r w:rsidR="00504810" w:rsidRPr="0059322A">
              <w:rPr>
                <w:rFonts w:ascii="Arial" w:hAnsi="Arial"/>
                <w:sz w:val="27"/>
                <w:szCs w:val="27"/>
              </w:rPr>
              <w:t xml:space="preserve"> </w:t>
            </w:r>
          </w:p>
        </w:tc>
      </w:tr>
      <w:tr w:rsidR="00180F47" w:rsidTr="007B5CAC">
        <w:tc>
          <w:tcPr>
            <w:tcW w:w="10278" w:type="dxa"/>
            <w:gridSpan w:val="2"/>
          </w:tcPr>
          <w:p w:rsidR="00180F47" w:rsidRDefault="00180F47" w:rsidP="00803771">
            <w:pPr>
              <w:rPr>
                <w:rFonts w:ascii="Arial" w:hAnsi="Arial"/>
                <w:sz w:val="28"/>
              </w:rPr>
            </w:pPr>
          </w:p>
        </w:tc>
      </w:tr>
      <w:tr w:rsidR="00180F47" w:rsidTr="007B5CAC">
        <w:tc>
          <w:tcPr>
            <w:tcW w:w="2268" w:type="dxa"/>
          </w:tcPr>
          <w:p w:rsidR="00180F47" w:rsidRDefault="00180F4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Advertising Required:</w:t>
            </w:r>
          </w:p>
        </w:tc>
        <w:tc>
          <w:tcPr>
            <w:tcW w:w="8010" w:type="dxa"/>
          </w:tcPr>
          <w:p w:rsidR="00180F47" w:rsidRPr="0059322A" w:rsidRDefault="00504810">
            <w:pPr>
              <w:rPr>
                <w:rFonts w:ascii="Arial" w:hAnsi="Arial"/>
                <w:sz w:val="27"/>
                <w:szCs w:val="27"/>
              </w:rPr>
            </w:pPr>
            <w:r w:rsidRPr="0059322A">
              <w:rPr>
                <w:rFonts w:ascii="Arial" w:hAnsi="Arial"/>
                <w:sz w:val="27"/>
                <w:szCs w:val="27"/>
              </w:rPr>
              <w:t>Yes</w:t>
            </w:r>
          </w:p>
        </w:tc>
      </w:tr>
      <w:tr w:rsidR="00180F47" w:rsidTr="007B5CAC">
        <w:tc>
          <w:tcPr>
            <w:tcW w:w="10278" w:type="dxa"/>
            <w:gridSpan w:val="2"/>
          </w:tcPr>
          <w:p w:rsidR="00180F47" w:rsidRDefault="00180F47" w:rsidP="00803771">
            <w:pPr>
              <w:rPr>
                <w:rFonts w:ascii="Arial" w:hAnsi="Arial"/>
                <w:sz w:val="28"/>
              </w:rPr>
            </w:pPr>
          </w:p>
        </w:tc>
      </w:tr>
      <w:tr w:rsidR="00180F47" w:rsidTr="007B5CAC">
        <w:tc>
          <w:tcPr>
            <w:tcW w:w="2268" w:type="dxa"/>
          </w:tcPr>
          <w:p w:rsidR="00180F47" w:rsidRDefault="00180F4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Requisition No.:</w:t>
            </w:r>
          </w:p>
        </w:tc>
        <w:tc>
          <w:tcPr>
            <w:tcW w:w="8010" w:type="dxa"/>
          </w:tcPr>
          <w:p w:rsidR="0059322A" w:rsidRPr="0007226D" w:rsidRDefault="00504810">
            <w:pPr>
              <w:rPr>
                <w:rFonts w:ascii="Arial" w:hAnsi="Arial"/>
                <w:sz w:val="27"/>
                <w:szCs w:val="27"/>
              </w:rPr>
            </w:pPr>
            <w:r w:rsidRPr="0059322A">
              <w:rPr>
                <w:rFonts w:ascii="Arial" w:hAnsi="Arial"/>
                <w:sz w:val="27"/>
                <w:szCs w:val="27"/>
              </w:rPr>
              <w:t>NR 580 410</w:t>
            </w:r>
            <w:r w:rsidR="004306DA">
              <w:rPr>
                <w:rFonts w:ascii="Arial" w:hAnsi="Arial"/>
                <w:sz w:val="27"/>
                <w:szCs w:val="27"/>
              </w:rPr>
              <w:t>31</w:t>
            </w:r>
            <w:r w:rsidR="0007226D">
              <w:rPr>
                <w:rFonts w:ascii="Arial" w:hAnsi="Arial"/>
                <w:sz w:val="27"/>
                <w:szCs w:val="27"/>
              </w:rPr>
              <w:t>700532</w:t>
            </w:r>
          </w:p>
        </w:tc>
      </w:tr>
      <w:tr w:rsidR="00495404" w:rsidTr="007B5CAC">
        <w:tc>
          <w:tcPr>
            <w:tcW w:w="10278" w:type="dxa"/>
            <w:gridSpan w:val="2"/>
          </w:tcPr>
          <w:p w:rsidR="00495404" w:rsidRPr="00582B0D" w:rsidRDefault="00495404" w:rsidP="006F2E6D">
            <w:pPr>
              <w:rPr>
                <w:rFonts w:ascii="Arial" w:hAnsi="Arial"/>
                <w:i/>
                <w:sz w:val="28"/>
              </w:rPr>
            </w:pPr>
          </w:p>
        </w:tc>
      </w:tr>
      <w:tr w:rsidR="00495404" w:rsidTr="007B5CAC">
        <w:tc>
          <w:tcPr>
            <w:tcW w:w="2268" w:type="dxa"/>
          </w:tcPr>
          <w:p w:rsidR="00495404" w:rsidRDefault="00495404" w:rsidP="0049540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SFS No.:</w:t>
            </w:r>
          </w:p>
        </w:tc>
        <w:tc>
          <w:tcPr>
            <w:tcW w:w="8010" w:type="dxa"/>
          </w:tcPr>
          <w:p w:rsidR="00495404" w:rsidRPr="0059322A" w:rsidRDefault="0007226D" w:rsidP="006F2E6D">
            <w:pPr>
              <w:rPr>
                <w:rFonts w:ascii="Arial" w:hAnsi="Arial"/>
                <w:sz w:val="27"/>
                <w:szCs w:val="27"/>
              </w:rPr>
            </w:pPr>
            <w:r>
              <w:rPr>
                <w:rFonts w:ascii="Arial" w:hAnsi="Arial"/>
                <w:sz w:val="27"/>
                <w:szCs w:val="27"/>
              </w:rPr>
              <w:t>SFSS30034901701252</w:t>
            </w:r>
          </w:p>
        </w:tc>
      </w:tr>
    </w:tbl>
    <w:p w:rsidR="001D7B63" w:rsidRDefault="001D7B63" w:rsidP="00504810">
      <w:pPr>
        <w:tabs>
          <w:tab w:val="left" w:pos="2160"/>
          <w:tab w:val="left" w:pos="4860"/>
          <w:tab w:val="left" w:pos="5940"/>
        </w:tabs>
        <w:spacing w:line="360" w:lineRule="auto"/>
        <w:rPr>
          <w:rFonts w:ascii="Arial" w:hAnsi="Arial"/>
          <w:color w:val="000000"/>
          <w:sz w:val="28"/>
        </w:rPr>
      </w:pPr>
    </w:p>
    <w:sectPr w:rsidR="001D7B63" w:rsidSect="005E24CE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31"/>
    <w:rsid w:val="0001774D"/>
    <w:rsid w:val="00030D84"/>
    <w:rsid w:val="0007226D"/>
    <w:rsid w:val="0011273A"/>
    <w:rsid w:val="00180F47"/>
    <w:rsid w:val="001D7B63"/>
    <w:rsid w:val="0022407F"/>
    <w:rsid w:val="00266580"/>
    <w:rsid w:val="002B53F1"/>
    <w:rsid w:val="0030334F"/>
    <w:rsid w:val="003247B4"/>
    <w:rsid w:val="004306DA"/>
    <w:rsid w:val="00484171"/>
    <w:rsid w:val="00495404"/>
    <w:rsid w:val="004E32E6"/>
    <w:rsid w:val="00504810"/>
    <w:rsid w:val="00582B0D"/>
    <w:rsid w:val="0059322A"/>
    <w:rsid w:val="005D4CED"/>
    <w:rsid w:val="005E24CE"/>
    <w:rsid w:val="00631586"/>
    <w:rsid w:val="0067404A"/>
    <w:rsid w:val="00680931"/>
    <w:rsid w:val="006F2E6D"/>
    <w:rsid w:val="007B5CAC"/>
    <w:rsid w:val="00803771"/>
    <w:rsid w:val="008079B1"/>
    <w:rsid w:val="008861BE"/>
    <w:rsid w:val="009437F7"/>
    <w:rsid w:val="009460BE"/>
    <w:rsid w:val="00965255"/>
    <w:rsid w:val="009751F4"/>
    <w:rsid w:val="00A8761F"/>
    <w:rsid w:val="00AD52E0"/>
    <w:rsid w:val="00C95459"/>
    <w:rsid w:val="00D47534"/>
    <w:rsid w:val="00E02E48"/>
    <w:rsid w:val="00FB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30334F"/>
  </w:style>
  <w:style w:type="paragraph" w:styleId="BalloonText">
    <w:name w:val="Balloon Text"/>
    <w:basedOn w:val="Normal"/>
    <w:link w:val="BalloonTextChar"/>
    <w:rsid w:val="00495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540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04810"/>
    <w:pPr>
      <w:ind w:left="810"/>
    </w:pPr>
    <w:rPr>
      <w:rFonts w:ascii="Tahoma" w:hAnsi="Tahom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504810"/>
    <w:rPr>
      <w:rFonts w:ascii="Tahoma" w:hAnsi="Tahoma"/>
      <w:sz w:val="22"/>
    </w:rPr>
  </w:style>
  <w:style w:type="paragraph" w:styleId="Header">
    <w:name w:val="header"/>
    <w:basedOn w:val="Normal"/>
    <w:link w:val="HeaderChar"/>
    <w:rsid w:val="005048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4810"/>
  </w:style>
  <w:style w:type="character" w:styleId="Hyperlink">
    <w:name w:val="Hyperlink"/>
    <w:basedOn w:val="DefaultParagraphFont"/>
    <w:rsid w:val="00504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30334F"/>
  </w:style>
  <w:style w:type="paragraph" w:styleId="BalloonText">
    <w:name w:val="Balloon Text"/>
    <w:basedOn w:val="Normal"/>
    <w:link w:val="BalloonTextChar"/>
    <w:rsid w:val="00495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540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04810"/>
    <w:pPr>
      <w:ind w:left="810"/>
    </w:pPr>
    <w:rPr>
      <w:rFonts w:ascii="Tahoma" w:hAnsi="Tahom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504810"/>
    <w:rPr>
      <w:rFonts w:ascii="Tahoma" w:hAnsi="Tahoma"/>
      <w:sz w:val="22"/>
    </w:rPr>
  </w:style>
  <w:style w:type="paragraph" w:styleId="Header">
    <w:name w:val="header"/>
    <w:basedOn w:val="Normal"/>
    <w:link w:val="HeaderChar"/>
    <w:rsid w:val="005048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4810"/>
  </w:style>
  <w:style w:type="character" w:styleId="Hyperlink">
    <w:name w:val="Hyperlink"/>
    <w:basedOn w:val="DefaultParagraphFont"/>
    <w:rsid w:val="00504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gan.howser@oa.mo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C348A-BC6C-432F-B537-85133ED9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7631F455.dotm</Template>
  <TotalTime>0</TotalTime>
  <Pages>1</Pages>
  <Words>129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Feasible Source Purchase</vt:lpstr>
    </vt:vector>
  </TitlesOfParts>
  <Company>State of Missouri</Company>
  <LinksUpToDate>false</LinksUpToDate>
  <CharactersWithSpaces>1050</CharactersWithSpaces>
  <SharedDoc>false</SharedDoc>
  <HLinks>
    <vt:vector size="6" baseType="variant">
      <vt:variant>
        <vt:i4>7602253</vt:i4>
      </vt:variant>
      <vt:variant>
        <vt:i4>0</vt:i4>
      </vt:variant>
      <vt:variant>
        <vt:i4>0</vt:i4>
      </vt:variant>
      <vt:variant>
        <vt:i4>5</vt:i4>
      </vt:variant>
      <vt:variant>
        <vt:lpwstr>mailto:Stacia.Dawson@oa.mo.gov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Feasible Source Purchase</dc:title>
  <dc:creator>Julie Kleffner</dc:creator>
  <cp:lastModifiedBy>temmed</cp:lastModifiedBy>
  <cp:revision>2</cp:revision>
  <cp:lastPrinted>2017-05-17T20:09:00Z</cp:lastPrinted>
  <dcterms:created xsi:type="dcterms:W3CDTF">2017-05-19T14:15:00Z</dcterms:created>
  <dcterms:modified xsi:type="dcterms:W3CDTF">2017-05-19T14:15:00Z</dcterms:modified>
</cp:coreProperties>
</file>