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63" w:rsidRDefault="001D7B63">
      <w:pPr>
        <w:jc w:val="center"/>
        <w:rPr>
          <w:rFonts w:ascii="Arial" w:hAnsi="Arial"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>Single Feasible Source Purchase</w:t>
      </w:r>
    </w:p>
    <w:p w:rsidR="001D7B63" w:rsidRDefault="001D7B63">
      <w:pPr>
        <w:rPr>
          <w:rFonts w:ascii="Arial" w:hAnsi="Arial"/>
          <w:sz w:val="28"/>
        </w:rPr>
      </w:pPr>
    </w:p>
    <w:tbl>
      <w:tblPr>
        <w:tblW w:w="10278" w:type="dxa"/>
        <w:tblLayout w:type="fixed"/>
        <w:tblLook w:val="0000" w:firstRow="0" w:lastRow="0" w:firstColumn="0" w:lastColumn="0" w:noHBand="0" w:noVBand="0"/>
      </w:tblPr>
      <w:tblGrid>
        <w:gridCol w:w="2268"/>
        <w:gridCol w:w="8010"/>
      </w:tblGrid>
      <w:tr w:rsidR="001D7B63" w:rsidTr="007B5CAC">
        <w:tc>
          <w:tcPr>
            <w:tcW w:w="2268" w:type="dxa"/>
          </w:tcPr>
          <w:p w:rsidR="001D7B63" w:rsidRDefault="001D7B6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</w:p>
        </w:tc>
        <w:tc>
          <w:tcPr>
            <w:tcW w:w="8010" w:type="dxa"/>
          </w:tcPr>
          <w:p w:rsidR="001D7B63" w:rsidRPr="0059322A" w:rsidRDefault="009437F7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Pediatric</w:t>
            </w:r>
            <w:r w:rsidR="005D4CED" w:rsidRPr="0059322A">
              <w:rPr>
                <w:rFonts w:ascii="Arial" w:hAnsi="Arial"/>
                <w:sz w:val="27"/>
                <w:szCs w:val="27"/>
              </w:rPr>
              <w:t xml:space="preserve"> Hemoglobinopathy (Sickle Cell) Resource Center Services</w:t>
            </w:r>
          </w:p>
        </w:tc>
      </w:tr>
      <w:tr w:rsidR="001D7B63" w:rsidTr="007B5CAC">
        <w:tc>
          <w:tcPr>
            <w:tcW w:w="10278" w:type="dxa"/>
            <w:gridSpan w:val="2"/>
          </w:tcPr>
          <w:p w:rsidR="001D7B63" w:rsidRPr="0059322A" w:rsidRDefault="001D7B63">
            <w:pPr>
              <w:rPr>
                <w:rFonts w:ascii="Arial" w:hAnsi="Arial"/>
                <w:sz w:val="27"/>
                <w:szCs w:val="27"/>
              </w:rPr>
            </w:pPr>
          </w:p>
        </w:tc>
      </w:tr>
      <w:tr w:rsidR="001D7B63" w:rsidTr="007B5CAC">
        <w:trPr>
          <w:trHeight w:val="1575"/>
        </w:trPr>
        <w:tc>
          <w:tcPr>
            <w:tcW w:w="2268" w:type="dxa"/>
          </w:tcPr>
          <w:p w:rsidR="001D7B63" w:rsidRDefault="001D7B6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Description:</w:t>
            </w:r>
          </w:p>
        </w:tc>
        <w:tc>
          <w:tcPr>
            <w:tcW w:w="8010" w:type="dxa"/>
          </w:tcPr>
          <w:p w:rsidR="007B5CAC" w:rsidRPr="0059322A" w:rsidRDefault="009437F7" w:rsidP="007B5CAC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To provide comprehensive Pediatric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Hemoglobinopathy (sickle cell) services through a Comprehensive Resource Center (providing services to individuals age 21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 and under)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with the goal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s of protecting the health of and 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reducing the burden of chronic disease among Missouri’s 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pediatric population.   </w:t>
            </w:r>
          </w:p>
          <w:p w:rsidR="007B5CAC" w:rsidRPr="0059322A" w:rsidRDefault="007B5CAC" w:rsidP="007B5CAC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</w:p>
          <w:p w:rsidR="007B5CAC" w:rsidRPr="0059322A" w:rsidRDefault="0007226D" w:rsidP="007B5CAC">
            <w:pPr>
              <w:ind w:right="-198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Children’s Mercy Hospital is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considered a single feasible source due to the fact that through past procurements, </w:t>
            </w:r>
            <w:r>
              <w:rPr>
                <w:rFonts w:ascii="Arial" w:hAnsi="Arial" w:cs="Arial"/>
                <w:bCs/>
                <w:sz w:val="27"/>
                <w:szCs w:val="27"/>
              </w:rPr>
              <w:t>Children’s Mercy Hospital is the only organization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in 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Region 1 </w:t>
            </w:r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that </w:t>
            </w:r>
            <w:proofErr w:type="gramStart"/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>provide</w:t>
            </w:r>
            <w:proofErr w:type="gramEnd"/>
            <w:r w:rsidR="007B5CAC" w:rsidRPr="0059322A">
              <w:rPr>
                <w:rFonts w:ascii="Arial" w:hAnsi="Arial" w:cs="Arial"/>
                <w:bCs/>
                <w:sz w:val="27"/>
                <w:szCs w:val="27"/>
              </w:rPr>
              <w:t xml:space="preserve"> the necessary services.  </w:t>
            </w:r>
          </w:p>
          <w:p w:rsidR="001D7B63" w:rsidRPr="0059322A" w:rsidRDefault="001D7B63" w:rsidP="005E24CE">
            <w:pPr>
              <w:pStyle w:val="Header"/>
              <w:tabs>
                <w:tab w:val="clear" w:pos="4320"/>
                <w:tab w:val="left" w:pos="1080"/>
                <w:tab w:val="center" w:pos="4680"/>
                <w:tab w:val="center" w:pos="5400"/>
                <w:tab w:val="center" w:pos="8400"/>
              </w:tabs>
              <w:jc w:val="both"/>
              <w:rPr>
                <w:rFonts w:ascii="Arial" w:hAnsi="Arial"/>
                <w:sz w:val="27"/>
                <w:szCs w:val="27"/>
              </w:rPr>
            </w:pP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Contract Period:</w:t>
            </w:r>
          </w:p>
        </w:tc>
        <w:tc>
          <w:tcPr>
            <w:tcW w:w="8010" w:type="dxa"/>
          </w:tcPr>
          <w:p w:rsidR="00180F47" w:rsidRPr="0059322A" w:rsidRDefault="0007226D" w:rsidP="008079B1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June 1, 2017</w:t>
            </w:r>
            <w:r w:rsidR="0001774D" w:rsidRPr="0059322A">
              <w:rPr>
                <w:rFonts w:ascii="Arial" w:hAnsi="Arial"/>
                <w:sz w:val="27"/>
                <w:szCs w:val="27"/>
              </w:rPr>
              <w:t xml:space="preserve"> through May 31, 201</w:t>
            </w:r>
            <w:r>
              <w:rPr>
                <w:rFonts w:ascii="Arial" w:hAnsi="Arial"/>
                <w:sz w:val="27"/>
                <w:szCs w:val="27"/>
              </w:rPr>
              <w:t>8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Pr="0059322A" w:rsidRDefault="00180F47" w:rsidP="00803771">
            <w:pPr>
              <w:rPr>
                <w:rFonts w:ascii="Arial" w:hAnsi="Arial"/>
                <w:sz w:val="27"/>
                <w:szCs w:val="27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 w:rsidP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Renewal Options:</w:t>
            </w:r>
          </w:p>
        </w:tc>
        <w:tc>
          <w:tcPr>
            <w:tcW w:w="8010" w:type="dxa"/>
          </w:tcPr>
          <w:p w:rsidR="00180F47" w:rsidRPr="0059322A" w:rsidRDefault="0007226D" w:rsidP="00803771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Two</w:t>
            </w:r>
            <w:r w:rsidR="00504810" w:rsidRPr="0059322A">
              <w:rPr>
                <w:rFonts w:ascii="Arial" w:hAnsi="Arial"/>
                <w:sz w:val="27"/>
                <w:szCs w:val="27"/>
              </w:rPr>
              <w:t xml:space="preserve"> 1-Year Renewals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Agency: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Department of Health and Senior Services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Supplier:</w:t>
            </w:r>
          </w:p>
        </w:tc>
        <w:tc>
          <w:tcPr>
            <w:tcW w:w="8010" w:type="dxa"/>
          </w:tcPr>
          <w:p w:rsidR="00180F47" w:rsidRPr="0059322A" w:rsidRDefault="004306DA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Children’s Mercy Hospital</w:t>
            </w:r>
          </w:p>
          <w:p w:rsidR="0059322A" w:rsidRDefault="0059322A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9751F4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Buyer:</w:t>
            </w:r>
          </w:p>
        </w:tc>
        <w:tc>
          <w:tcPr>
            <w:tcW w:w="8010" w:type="dxa"/>
          </w:tcPr>
          <w:p w:rsidR="00180F47" w:rsidRPr="0059322A" w:rsidRDefault="0007226D" w:rsidP="00180F47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Leslie Kemna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Phone No: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573-</w:t>
            </w:r>
            <w:r w:rsidR="0067404A" w:rsidRPr="0059322A">
              <w:rPr>
                <w:rFonts w:ascii="Arial" w:hAnsi="Arial"/>
                <w:sz w:val="27"/>
                <w:szCs w:val="27"/>
              </w:rPr>
              <w:t>751-</w:t>
            </w:r>
            <w:r w:rsidR="0007226D">
              <w:rPr>
                <w:rFonts w:ascii="Arial" w:hAnsi="Arial"/>
                <w:sz w:val="27"/>
                <w:szCs w:val="27"/>
              </w:rPr>
              <w:t>4887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E-Mail:</w:t>
            </w:r>
          </w:p>
        </w:tc>
        <w:tc>
          <w:tcPr>
            <w:tcW w:w="8010" w:type="dxa"/>
          </w:tcPr>
          <w:p w:rsidR="00180F47" w:rsidRPr="0059322A" w:rsidRDefault="00484171">
            <w:pPr>
              <w:rPr>
                <w:rFonts w:ascii="Arial" w:hAnsi="Arial"/>
                <w:sz w:val="27"/>
                <w:szCs w:val="27"/>
              </w:rPr>
            </w:pPr>
            <w:hyperlink r:id="rId6" w:history="1">
              <w:r w:rsidR="0007226D">
                <w:rPr>
                  <w:rStyle w:val="Hyperlink"/>
                  <w:rFonts w:ascii="Arial" w:hAnsi="Arial"/>
                  <w:sz w:val="27"/>
                  <w:szCs w:val="27"/>
                </w:rPr>
                <w:t>leslie.kemna</w:t>
              </w:r>
              <w:r w:rsidR="0067404A" w:rsidRPr="0059322A">
                <w:rPr>
                  <w:rStyle w:val="Hyperlink"/>
                  <w:rFonts w:ascii="Arial" w:hAnsi="Arial"/>
                  <w:sz w:val="27"/>
                  <w:szCs w:val="27"/>
                </w:rPr>
                <w:t>@oa.mo.gov</w:t>
              </w:r>
            </w:hyperlink>
            <w:r w:rsidR="00504810" w:rsidRPr="0059322A">
              <w:rPr>
                <w:rFonts w:ascii="Arial" w:hAnsi="Arial"/>
                <w:sz w:val="27"/>
                <w:szCs w:val="27"/>
              </w:rPr>
              <w:t xml:space="preserve"> 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Advertising Required:</w:t>
            </w:r>
          </w:p>
        </w:tc>
        <w:tc>
          <w:tcPr>
            <w:tcW w:w="8010" w:type="dxa"/>
          </w:tcPr>
          <w:p w:rsidR="00180F47" w:rsidRPr="0059322A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Yes</w:t>
            </w:r>
          </w:p>
        </w:tc>
      </w:tr>
      <w:tr w:rsidR="00180F47" w:rsidTr="007B5CAC">
        <w:tc>
          <w:tcPr>
            <w:tcW w:w="10278" w:type="dxa"/>
            <w:gridSpan w:val="2"/>
          </w:tcPr>
          <w:p w:rsidR="00180F47" w:rsidRDefault="00180F47" w:rsidP="00803771">
            <w:pPr>
              <w:rPr>
                <w:rFonts w:ascii="Arial" w:hAnsi="Arial"/>
                <w:sz w:val="28"/>
              </w:rPr>
            </w:pPr>
          </w:p>
        </w:tc>
      </w:tr>
      <w:tr w:rsidR="00180F47" w:rsidTr="007B5CAC">
        <w:tc>
          <w:tcPr>
            <w:tcW w:w="2268" w:type="dxa"/>
          </w:tcPr>
          <w:p w:rsidR="00180F47" w:rsidRDefault="00180F4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Requisition No.:</w:t>
            </w:r>
          </w:p>
        </w:tc>
        <w:tc>
          <w:tcPr>
            <w:tcW w:w="8010" w:type="dxa"/>
          </w:tcPr>
          <w:p w:rsidR="0059322A" w:rsidRPr="0007226D" w:rsidRDefault="00504810">
            <w:pPr>
              <w:rPr>
                <w:rFonts w:ascii="Arial" w:hAnsi="Arial"/>
                <w:sz w:val="27"/>
                <w:szCs w:val="27"/>
              </w:rPr>
            </w:pPr>
            <w:r w:rsidRPr="0059322A">
              <w:rPr>
                <w:rFonts w:ascii="Arial" w:hAnsi="Arial"/>
                <w:sz w:val="27"/>
                <w:szCs w:val="27"/>
              </w:rPr>
              <w:t>NR 580 410</w:t>
            </w:r>
            <w:r w:rsidR="004306DA">
              <w:rPr>
                <w:rFonts w:ascii="Arial" w:hAnsi="Arial"/>
                <w:sz w:val="27"/>
                <w:szCs w:val="27"/>
              </w:rPr>
              <w:t>31</w:t>
            </w:r>
            <w:r w:rsidR="0007226D">
              <w:rPr>
                <w:rFonts w:ascii="Arial" w:hAnsi="Arial"/>
                <w:sz w:val="27"/>
                <w:szCs w:val="27"/>
              </w:rPr>
              <w:t>700532</w:t>
            </w:r>
          </w:p>
        </w:tc>
      </w:tr>
      <w:tr w:rsidR="00495404" w:rsidTr="007B5CAC">
        <w:tc>
          <w:tcPr>
            <w:tcW w:w="10278" w:type="dxa"/>
            <w:gridSpan w:val="2"/>
          </w:tcPr>
          <w:p w:rsidR="00495404" w:rsidRPr="00582B0D" w:rsidRDefault="00495404" w:rsidP="006F2E6D">
            <w:pPr>
              <w:rPr>
                <w:rFonts w:ascii="Arial" w:hAnsi="Arial"/>
                <w:i/>
                <w:sz w:val="28"/>
              </w:rPr>
            </w:pPr>
          </w:p>
        </w:tc>
      </w:tr>
      <w:tr w:rsidR="00495404" w:rsidTr="007B5CAC">
        <w:tc>
          <w:tcPr>
            <w:tcW w:w="2268" w:type="dxa"/>
          </w:tcPr>
          <w:p w:rsidR="00495404" w:rsidRDefault="00495404" w:rsidP="00495404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SFS No.:</w:t>
            </w:r>
          </w:p>
        </w:tc>
        <w:tc>
          <w:tcPr>
            <w:tcW w:w="8010" w:type="dxa"/>
          </w:tcPr>
          <w:p w:rsidR="00495404" w:rsidRPr="0059322A" w:rsidRDefault="0007226D" w:rsidP="006F2E6D">
            <w:pPr>
              <w:rPr>
                <w:rFonts w:ascii="Arial" w:hAnsi="Arial"/>
                <w:sz w:val="27"/>
                <w:szCs w:val="27"/>
              </w:rPr>
            </w:pPr>
            <w:r>
              <w:rPr>
                <w:rFonts w:ascii="Arial" w:hAnsi="Arial"/>
                <w:sz w:val="27"/>
                <w:szCs w:val="27"/>
              </w:rPr>
              <w:t>SFSS30034901701252</w:t>
            </w:r>
          </w:p>
        </w:tc>
      </w:tr>
    </w:tbl>
    <w:p w:rsidR="001D7B63" w:rsidRDefault="001D7B63" w:rsidP="00504810">
      <w:pPr>
        <w:tabs>
          <w:tab w:val="left" w:pos="2160"/>
          <w:tab w:val="left" w:pos="4860"/>
          <w:tab w:val="left" w:pos="5940"/>
        </w:tabs>
        <w:spacing w:line="360" w:lineRule="auto"/>
        <w:rPr>
          <w:rFonts w:ascii="Arial" w:hAnsi="Arial"/>
          <w:color w:val="000000"/>
          <w:sz w:val="28"/>
        </w:rPr>
      </w:pPr>
    </w:p>
    <w:sectPr w:rsidR="001D7B63" w:rsidSect="005E24CE">
      <w:endnotePr>
        <w:numFmt w:val="decimal"/>
      </w:endnotePr>
      <w:pgSz w:w="12240" w:h="15840"/>
      <w:pgMar w:top="720" w:right="720" w:bottom="720" w:left="72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31"/>
    <w:rsid w:val="0001774D"/>
    <w:rsid w:val="00030D84"/>
    <w:rsid w:val="0007226D"/>
    <w:rsid w:val="0011273A"/>
    <w:rsid w:val="00180F47"/>
    <w:rsid w:val="001D7B63"/>
    <w:rsid w:val="0022407F"/>
    <w:rsid w:val="00266580"/>
    <w:rsid w:val="002B53F1"/>
    <w:rsid w:val="0030334F"/>
    <w:rsid w:val="003247B4"/>
    <w:rsid w:val="004306DA"/>
    <w:rsid w:val="00484171"/>
    <w:rsid w:val="00495404"/>
    <w:rsid w:val="004E32E6"/>
    <w:rsid w:val="00504810"/>
    <w:rsid w:val="00582B0D"/>
    <w:rsid w:val="0059322A"/>
    <w:rsid w:val="005D4CED"/>
    <w:rsid w:val="005E24CE"/>
    <w:rsid w:val="00631586"/>
    <w:rsid w:val="0067404A"/>
    <w:rsid w:val="00680931"/>
    <w:rsid w:val="006F2E6D"/>
    <w:rsid w:val="007B5CAC"/>
    <w:rsid w:val="00803771"/>
    <w:rsid w:val="008079B1"/>
    <w:rsid w:val="008861BE"/>
    <w:rsid w:val="009437F7"/>
    <w:rsid w:val="009460BE"/>
    <w:rsid w:val="00965255"/>
    <w:rsid w:val="009751F4"/>
    <w:rsid w:val="00A8761F"/>
    <w:rsid w:val="00AD52E0"/>
    <w:rsid w:val="00C95459"/>
    <w:rsid w:val="00D47534"/>
    <w:rsid w:val="00E02E48"/>
    <w:rsid w:val="00FB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0334F"/>
  </w:style>
  <w:style w:type="paragraph" w:styleId="BalloonText">
    <w:name w:val="Balloon Text"/>
    <w:basedOn w:val="Normal"/>
    <w:link w:val="BalloonTextChar"/>
    <w:rsid w:val="00495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4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04810"/>
    <w:pPr>
      <w:ind w:left="810"/>
    </w:pPr>
    <w:rPr>
      <w:rFonts w:ascii="Tahoma" w:hAnsi="Tahoma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04810"/>
    <w:rPr>
      <w:rFonts w:ascii="Tahoma" w:hAnsi="Tahoma"/>
      <w:sz w:val="22"/>
    </w:rPr>
  </w:style>
  <w:style w:type="paragraph" w:styleId="Header">
    <w:name w:val="header"/>
    <w:basedOn w:val="Normal"/>
    <w:link w:val="HeaderChar"/>
    <w:rsid w:val="005048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4810"/>
  </w:style>
  <w:style w:type="character" w:styleId="Hyperlink">
    <w:name w:val="Hyperlink"/>
    <w:basedOn w:val="DefaultParagraphFont"/>
    <w:rsid w:val="00504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0334F"/>
  </w:style>
  <w:style w:type="paragraph" w:styleId="BalloonText">
    <w:name w:val="Balloon Text"/>
    <w:basedOn w:val="Normal"/>
    <w:link w:val="BalloonTextChar"/>
    <w:rsid w:val="00495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4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04810"/>
    <w:pPr>
      <w:ind w:left="810"/>
    </w:pPr>
    <w:rPr>
      <w:rFonts w:ascii="Tahoma" w:hAnsi="Tahoma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04810"/>
    <w:rPr>
      <w:rFonts w:ascii="Tahoma" w:hAnsi="Tahoma"/>
      <w:sz w:val="22"/>
    </w:rPr>
  </w:style>
  <w:style w:type="paragraph" w:styleId="Header">
    <w:name w:val="header"/>
    <w:basedOn w:val="Normal"/>
    <w:link w:val="HeaderChar"/>
    <w:rsid w:val="005048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4810"/>
  </w:style>
  <w:style w:type="character" w:styleId="Hyperlink">
    <w:name w:val="Hyperlink"/>
    <w:basedOn w:val="DefaultParagraphFont"/>
    <w:rsid w:val="00504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gan.howser@oa.mo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348A-BC6C-432F-B537-85133ED9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7631F455.dotm</Template>
  <TotalTime>0</TotalTime>
  <Pages>1</Pages>
  <Words>129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Feasible Source Purchase</vt:lpstr>
    </vt:vector>
  </TitlesOfParts>
  <Company>State of Missouri</Company>
  <LinksUpToDate>false</LinksUpToDate>
  <CharactersWithSpaces>1050</CharactersWithSpaces>
  <SharedDoc>false</SharedDoc>
  <HLinks>
    <vt:vector size="6" baseType="variant">
      <vt:variant>
        <vt:i4>7602253</vt:i4>
      </vt:variant>
      <vt:variant>
        <vt:i4>0</vt:i4>
      </vt:variant>
      <vt:variant>
        <vt:i4>0</vt:i4>
      </vt:variant>
      <vt:variant>
        <vt:i4>5</vt:i4>
      </vt:variant>
      <vt:variant>
        <vt:lpwstr>mailto:Stacia.Dawson@oa.mo.gov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Feasible Source Purchase</dc:title>
  <dc:creator>Julie Kleffner</dc:creator>
  <cp:lastModifiedBy>temmed</cp:lastModifiedBy>
  <cp:revision>2</cp:revision>
  <cp:lastPrinted>2017-05-17T20:09:00Z</cp:lastPrinted>
  <dcterms:created xsi:type="dcterms:W3CDTF">2017-05-19T14:15:00Z</dcterms:created>
  <dcterms:modified xsi:type="dcterms:W3CDTF">2017-05-19T14:15:00Z</dcterms:modified>
</cp:coreProperties>
</file>